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宋体"/>
          <w:b/>
          <w:sz w:val="18"/>
          <w:szCs w:val="18"/>
          <w:lang w:val="en-US" w:eastAsia="zh-CN"/>
        </w:rPr>
      </w:pPr>
      <w:bookmarkStart w:id="1" w:name="_GoBack"/>
      <w:bookmarkEnd w:id="1"/>
    </w:p>
    <w:p>
      <w:pPr>
        <w:jc w:val="center"/>
        <w:rPr>
          <w:rFonts w:hint="eastAsia" w:eastAsia="宋体"/>
          <w:b/>
          <w:sz w:val="18"/>
          <w:szCs w:val="18"/>
          <w:lang w:val="en-US" w:eastAsia="zh-CN"/>
        </w:rPr>
      </w:pPr>
    </w:p>
    <w:p>
      <w:pPr>
        <w:jc w:val="center"/>
        <w:rPr>
          <w:rFonts w:hint="eastAsia" w:eastAsia="宋体"/>
          <w:b/>
          <w:sz w:val="18"/>
          <w:szCs w:val="18"/>
          <w:lang w:val="en-US" w:eastAsia="zh-CN"/>
        </w:rPr>
      </w:pPr>
      <w:r>
        <w:rPr>
          <w:rFonts w:hint="eastAsia" w:eastAsia="宋体"/>
          <w:b/>
          <w:sz w:val="18"/>
          <w:szCs w:val="18"/>
          <w:lang w:val="en-US" w:eastAsia="zh-CN"/>
        </w:rPr>
        <w:t xml:space="preserve"> </w:t>
      </w:r>
    </w:p>
    <w:p>
      <w:pPr>
        <w:pStyle w:val="190"/>
        <w:spacing w:before="39"/>
        <w:ind w:right="-50" w:rightChars="-24"/>
        <w:jc w:val="center"/>
        <w:rPr>
          <w:rFonts w:hint="eastAsia" w:cs="Times New Roman"/>
          <w:kern w:val="0"/>
          <w:sz w:val="84"/>
          <w:szCs w:val="84"/>
          <w:lang w:val="en-US" w:eastAsia="zh-CN"/>
        </w:rPr>
      </w:pPr>
    </w:p>
    <w:p>
      <w:pPr>
        <w:pStyle w:val="190"/>
        <w:spacing w:before="39"/>
        <w:ind w:right="-50" w:rightChars="-24"/>
        <w:jc w:val="center"/>
        <w:rPr>
          <w:rFonts w:hint="default" w:eastAsia="宋体"/>
          <w:b/>
          <w:sz w:val="84"/>
          <w:szCs w:val="84"/>
          <w:lang w:val="en-US" w:eastAsia="zh-CN"/>
        </w:rPr>
      </w:pPr>
      <w:r>
        <w:rPr>
          <w:rFonts w:hint="eastAsia" w:cs="Times New Roman"/>
          <w:kern w:val="0"/>
          <w:sz w:val="84"/>
          <w:szCs w:val="84"/>
          <w:lang w:val="en-US" w:eastAsia="zh-CN"/>
        </w:rPr>
        <w:t>社会责任报告</w:t>
      </w: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r>
        <w:rPr>
          <w:rFonts w:hint="eastAsia" w:eastAsia="宋体"/>
          <w:b/>
          <w:sz w:val="18"/>
          <w:szCs w:val="18"/>
          <w:lang w:val="en-US" w:eastAsia="zh-CN"/>
        </w:rPr>
        <w:t>、</w:t>
      </w: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48"/>
          <w:szCs w:val="48"/>
          <w:lang w:val="en-US" w:eastAsia="zh-CN"/>
        </w:rPr>
      </w:pPr>
      <w:r>
        <w:rPr>
          <w:rFonts w:hint="eastAsia" w:ascii="Calibri" w:hAnsi="Calibri" w:eastAsia="宋体" w:cs="Times New Roman"/>
          <w:b/>
          <w:sz w:val="48"/>
          <w:szCs w:val="48"/>
          <w:lang w:val="en-US" w:eastAsia="zh-CN"/>
        </w:rPr>
        <w:t>浙江华晟金属制品有限公司</w:t>
      </w:r>
    </w:p>
    <w:p>
      <w:pPr>
        <w:jc w:val="center"/>
        <w:rPr>
          <w:rFonts w:hint="default" w:eastAsia="宋体"/>
          <w:b/>
          <w:sz w:val="48"/>
          <w:szCs w:val="48"/>
          <w:lang w:val="en-US" w:eastAsia="zh-CN"/>
        </w:rPr>
      </w:pPr>
      <w:r>
        <w:rPr>
          <w:rFonts w:hint="eastAsia" w:eastAsia="宋体"/>
          <w:b/>
          <w:sz w:val="48"/>
          <w:szCs w:val="48"/>
          <w:lang w:val="en-US" w:eastAsia="zh-CN"/>
        </w:rPr>
        <w:t>二0二一年三月</w:t>
      </w:r>
    </w:p>
    <w:p>
      <w:pPr>
        <w:jc w:val="center"/>
        <w:rPr>
          <w:rFonts w:hint="eastAsia" w:eastAsia="宋体"/>
          <w:b/>
          <w:sz w:val="48"/>
          <w:szCs w:val="4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jc w:val="center"/>
        <w:rPr>
          <w:rFonts w:hint="eastAsia" w:eastAsia="宋体"/>
          <w:b/>
          <w:sz w:val="18"/>
          <w:szCs w:val="18"/>
          <w:lang w:val="en-US" w:eastAsia="zh-CN"/>
        </w:rPr>
      </w:pPr>
    </w:p>
    <w:p>
      <w:pPr>
        <w:spacing w:after="120" w:afterLines="50"/>
        <w:jc w:val="center"/>
        <w:rPr>
          <w:rFonts w:hint="eastAsia" w:ascii="黑体" w:hAnsi="黑体" w:eastAsia="黑体" w:cs="黑体"/>
          <w:b/>
          <w:sz w:val="32"/>
          <w:szCs w:val="32"/>
        </w:rPr>
      </w:pPr>
      <w:r>
        <w:rPr>
          <w:rFonts w:hint="eastAsia" w:ascii="黑体" w:hAnsi="黑体" w:eastAsia="黑体" w:cs="黑体"/>
          <w:b/>
          <w:sz w:val="32"/>
          <w:szCs w:val="32"/>
        </w:rPr>
        <w:t>目  录</w:t>
      </w:r>
    </w:p>
    <w:p>
      <w:pPr>
        <w:spacing w:after="120" w:afterLines="50" w:line="360" w:lineRule="auto"/>
        <w:ind w:firstLine="550" w:firstLineChars="250"/>
        <w:rPr>
          <w:rFonts w:hint="eastAsia" w:ascii="宋体" w:hAnsi="宋体"/>
          <w:sz w:val="22"/>
          <w:szCs w:val="21"/>
        </w:rPr>
      </w:pPr>
    </w:p>
    <w:p>
      <w:pPr>
        <w:spacing w:after="120" w:afterLines="50" w:line="360" w:lineRule="auto"/>
        <w:ind w:firstLine="600" w:firstLineChars="250"/>
        <w:rPr>
          <w:rFonts w:hint="eastAsia" w:ascii="宋体" w:hAnsi="宋体"/>
          <w:sz w:val="24"/>
        </w:rPr>
      </w:pPr>
      <w:r>
        <w:rPr>
          <w:rFonts w:hint="eastAsia" w:ascii="宋体" w:hAnsi="宋体"/>
          <w:sz w:val="24"/>
        </w:rPr>
        <w:t>编制说明 ------------------------------------------------------3</w:t>
      </w:r>
    </w:p>
    <w:p>
      <w:pPr>
        <w:spacing w:after="120" w:afterLines="50" w:line="360" w:lineRule="auto"/>
        <w:ind w:firstLine="600" w:firstLineChars="250"/>
        <w:rPr>
          <w:rFonts w:hint="eastAsia" w:ascii="宋体" w:hAnsi="宋体"/>
          <w:sz w:val="24"/>
        </w:rPr>
      </w:pPr>
      <w:r>
        <w:rPr>
          <w:rFonts w:hint="eastAsia" w:ascii="宋体" w:hAnsi="宋体"/>
          <w:sz w:val="24"/>
        </w:rPr>
        <w:t>前言 ----------------------------------------------------------4</w:t>
      </w:r>
    </w:p>
    <w:p>
      <w:pPr>
        <w:spacing w:after="120" w:afterLines="50" w:line="360" w:lineRule="auto"/>
        <w:ind w:firstLine="600" w:firstLineChars="250"/>
        <w:rPr>
          <w:rFonts w:hint="eastAsia" w:ascii="宋体" w:hAnsi="宋体"/>
          <w:sz w:val="24"/>
        </w:rPr>
      </w:pPr>
      <w:r>
        <w:rPr>
          <w:rFonts w:hint="eastAsia" w:ascii="宋体" w:hAnsi="宋体"/>
          <w:sz w:val="24"/>
        </w:rPr>
        <w:t>一、注重文化建设的社会责任 ------------------------------------5</w:t>
      </w:r>
    </w:p>
    <w:p>
      <w:pPr>
        <w:spacing w:after="120" w:afterLines="50" w:line="360" w:lineRule="auto"/>
        <w:ind w:firstLine="600" w:firstLineChars="250"/>
        <w:rPr>
          <w:rFonts w:hint="eastAsia" w:ascii="宋体" w:hAnsi="宋体"/>
          <w:sz w:val="24"/>
        </w:rPr>
      </w:pPr>
      <w:r>
        <w:rPr>
          <w:rFonts w:hint="eastAsia" w:ascii="宋体" w:hAnsi="宋体"/>
          <w:sz w:val="24"/>
        </w:rPr>
        <w:t>二、追求高质量产品和服务的社会责任 ----------------------------6</w:t>
      </w:r>
    </w:p>
    <w:p>
      <w:pPr>
        <w:spacing w:after="120" w:afterLines="50" w:line="360" w:lineRule="auto"/>
        <w:ind w:firstLine="600" w:firstLineChars="250"/>
        <w:rPr>
          <w:rFonts w:hint="eastAsia" w:ascii="宋体" w:hAnsi="宋体"/>
          <w:sz w:val="24"/>
        </w:rPr>
      </w:pPr>
      <w:r>
        <w:rPr>
          <w:rFonts w:hint="eastAsia" w:ascii="宋体" w:hAnsi="宋体"/>
          <w:sz w:val="24"/>
        </w:rPr>
        <w:t>三、遵守国家法律法规的社会责任 --------------------------------7</w:t>
      </w:r>
    </w:p>
    <w:p>
      <w:pPr>
        <w:spacing w:after="120" w:afterLines="50" w:line="360" w:lineRule="auto"/>
        <w:ind w:firstLine="600" w:firstLineChars="250"/>
        <w:rPr>
          <w:rFonts w:hint="eastAsia" w:ascii="宋体" w:hAnsi="宋体"/>
          <w:sz w:val="24"/>
        </w:rPr>
      </w:pPr>
      <w:r>
        <w:rPr>
          <w:rFonts w:hint="eastAsia" w:ascii="宋体" w:hAnsi="宋体"/>
          <w:sz w:val="24"/>
        </w:rPr>
        <w:t>四、关注员工的文化建设和健康 ---------------------------------10</w:t>
      </w:r>
    </w:p>
    <w:p>
      <w:pPr>
        <w:spacing w:after="120" w:afterLines="50" w:line="360" w:lineRule="auto"/>
        <w:ind w:firstLine="600" w:firstLineChars="250"/>
        <w:rPr>
          <w:rFonts w:hint="eastAsia" w:ascii="宋体" w:hAnsi="宋体"/>
          <w:sz w:val="24"/>
        </w:rPr>
      </w:pPr>
      <w:r>
        <w:rPr>
          <w:rFonts w:hint="eastAsia" w:ascii="宋体" w:hAnsi="宋体"/>
          <w:sz w:val="24"/>
        </w:rPr>
        <w:t>五、回报社会，参与公益事业 -----------------------------------15</w:t>
      </w:r>
    </w:p>
    <w:p>
      <w:pPr>
        <w:spacing w:after="120" w:afterLines="50" w:line="360" w:lineRule="auto"/>
        <w:ind w:firstLine="600" w:firstLineChars="250"/>
        <w:rPr>
          <w:rFonts w:hint="eastAsia" w:ascii="宋体" w:hAnsi="宋体"/>
          <w:sz w:val="24"/>
        </w:rPr>
      </w:pPr>
      <w:r>
        <w:rPr>
          <w:rFonts w:hint="eastAsia" w:ascii="宋体" w:hAnsi="宋体"/>
          <w:sz w:val="24"/>
        </w:rPr>
        <w:t xml:space="preserve">结束语 </w:t>
      </w:r>
      <w:r>
        <w:rPr>
          <w:rFonts w:ascii="宋体" w:hAnsi="宋体"/>
          <w:sz w:val="24"/>
        </w:rPr>
        <w:t>-------------------------------------</w:t>
      </w:r>
      <w:r>
        <w:rPr>
          <w:rFonts w:hint="eastAsia" w:ascii="宋体" w:hAnsi="宋体"/>
          <w:sz w:val="24"/>
        </w:rPr>
        <w:t>--</w:t>
      </w:r>
      <w:r>
        <w:rPr>
          <w:rFonts w:ascii="宋体" w:hAnsi="宋体"/>
          <w:sz w:val="24"/>
        </w:rPr>
        <w:t>----------------1</w:t>
      </w:r>
      <w:r>
        <w:rPr>
          <w:rFonts w:hint="eastAsia" w:ascii="宋体" w:hAnsi="宋体"/>
          <w:sz w:val="24"/>
        </w:rPr>
        <w:t>5</w:t>
      </w:r>
    </w:p>
    <w:p>
      <w:pPr>
        <w:spacing w:after="120" w:afterLines="50" w:line="360" w:lineRule="auto"/>
        <w:ind w:firstLine="600" w:firstLineChars="250"/>
        <w:rPr>
          <w:rFonts w:hint="eastAsia" w:ascii="宋体" w:hAnsi="宋体"/>
          <w:sz w:val="24"/>
        </w:rPr>
      </w:pPr>
    </w:p>
    <w:p>
      <w:pPr>
        <w:spacing w:after="120" w:afterLines="50" w:line="360" w:lineRule="auto"/>
        <w:ind w:firstLine="600" w:firstLineChars="250"/>
        <w:rPr>
          <w:rFonts w:hint="eastAsia" w:ascii="宋体" w:hAnsi="宋体"/>
          <w:sz w:val="24"/>
          <w:szCs w:val="21"/>
        </w:rPr>
      </w:pPr>
    </w:p>
    <w:p>
      <w:pPr>
        <w:spacing w:line="360" w:lineRule="auto"/>
        <w:ind w:firstLine="525" w:firstLineChars="250"/>
        <w:rPr>
          <w:rFonts w:hint="eastAsia" w:ascii="宋体" w:hAnsi="宋体"/>
          <w:szCs w:val="21"/>
        </w:rPr>
      </w:pPr>
    </w:p>
    <w:p>
      <w:pPr>
        <w:spacing w:after="120" w:afterLines="50" w:line="360" w:lineRule="auto"/>
        <w:rPr>
          <w:rFonts w:ascii="宋体" w:hAnsi="宋体"/>
          <w:sz w:val="24"/>
        </w:rPr>
      </w:pPr>
      <w:r>
        <w:rPr>
          <w:rFonts w:hint="eastAsia" w:ascii="宋体" w:hAnsi="宋体"/>
          <w:sz w:val="24"/>
        </w:rPr>
        <w:t xml:space="preserve">    </w:t>
      </w:r>
    </w:p>
    <w:p>
      <w:pPr>
        <w:spacing w:after="120" w:afterLines="50" w:line="360" w:lineRule="auto"/>
        <w:rPr>
          <w:rFonts w:ascii="宋体" w:hAnsi="宋体"/>
          <w:sz w:val="24"/>
        </w:rPr>
      </w:pPr>
    </w:p>
    <w:p>
      <w:pPr>
        <w:spacing w:after="120" w:afterLines="50" w:line="360" w:lineRule="auto"/>
        <w:rPr>
          <w:rFonts w:ascii="宋体" w:hAnsi="宋体"/>
          <w:sz w:val="24"/>
        </w:rPr>
      </w:pPr>
    </w:p>
    <w:p>
      <w:pPr>
        <w:spacing w:after="120" w:afterLines="50" w:line="360" w:lineRule="auto"/>
        <w:rPr>
          <w:rFonts w:ascii="宋体" w:hAnsi="宋体"/>
          <w:sz w:val="24"/>
        </w:rPr>
      </w:pPr>
    </w:p>
    <w:p>
      <w:pPr>
        <w:spacing w:after="120" w:afterLines="50" w:line="360" w:lineRule="auto"/>
        <w:rPr>
          <w:rFonts w:ascii="宋体" w:hAnsi="宋体"/>
          <w:sz w:val="24"/>
        </w:rPr>
      </w:pPr>
    </w:p>
    <w:p>
      <w:pPr>
        <w:spacing w:after="120" w:afterLines="50" w:line="360" w:lineRule="auto"/>
        <w:rPr>
          <w:rFonts w:ascii="宋体" w:hAnsi="宋体"/>
          <w:sz w:val="24"/>
        </w:rPr>
      </w:pPr>
    </w:p>
    <w:p>
      <w:pPr>
        <w:spacing w:after="120" w:afterLines="50" w:line="360" w:lineRule="auto"/>
        <w:rPr>
          <w:rFonts w:ascii="宋体" w:hAnsi="宋体"/>
          <w:sz w:val="24"/>
        </w:rPr>
      </w:pPr>
    </w:p>
    <w:p>
      <w:pPr>
        <w:spacing w:after="120" w:afterLines="50" w:line="360" w:lineRule="auto"/>
        <w:rPr>
          <w:rFonts w:ascii="宋体" w:hAnsi="宋体"/>
          <w:sz w:val="24"/>
        </w:rPr>
      </w:pPr>
    </w:p>
    <w:p>
      <w:pPr>
        <w:spacing w:after="120" w:afterLines="50" w:line="360" w:lineRule="auto"/>
        <w:rPr>
          <w:rFonts w:ascii="宋体" w:hAnsi="宋体"/>
          <w:sz w:val="24"/>
        </w:rPr>
      </w:pPr>
    </w:p>
    <w:p>
      <w:pPr>
        <w:spacing w:after="120" w:afterLines="50" w:line="360" w:lineRule="auto"/>
        <w:rPr>
          <w:rFonts w:ascii="宋体" w:hAnsi="宋体"/>
          <w:sz w:val="24"/>
        </w:rPr>
      </w:pPr>
    </w:p>
    <w:p>
      <w:pPr>
        <w:spacing w:after="120" w:afterLines="50" w:line="360" w:lineRule="auto"/>
        <w:rPr>
          <w:rFonts w:ascii="宋体" w:hAnsi="宋体"/>
          <w:sz w:val="24"/>
        </w:rPr>
      </w:pPr>
    </w:p>
    <w:p>
      <w:pPr>
        <w:spacing w:after="120" w:afterLines="50" w:line="360" w:lineRule="auto"/>
        <w:jc w:val="center"/>
        <w:rPr>
          <w:rFonts w:hint="eastAsia"/>
          <w:b/>
          <w:sz w:val="32"/>
          <w:szCs w:val="32"/>
        </w:rPr>
      </w:pPr>
      <w:r>
        <w:rPr>
          <w:rFonts w:hint="eastAsia"/>
          <w:b/>
          <w:sz w:val="32"/>
          <w:szCs w:val="32"/>
        </w:rPr>
        <w:t xml:space="preserve">编 制 </w:t>
      </w:r>
      <w:r>
        <w:rPr>
          <w:b/>
          <w:sz w:val="32"/>
          <w:szCs w:val="32"/>
        </w:rPr>
        <w:t>说</w:t>
      </w:r>
      <w:r>
        <w:rPr>
          <w:rFonts w:hint="eastAsia"/>
          <w:b/>
          <w:sz w:val="32"/>
          <w:szCs w:val="32"/>
        </w:rPr>
        <w:t xml:space="preserve"> </w:t>
      </w:r>
      <w:r>
        <w:rPr>
          <w:b/>
          <w:sz w:val="32"/>
          <w:szCs w:val="32"/>
        </w:rPr>
        <w:t>明</w:t>
      </w:r>
    </w:p>
    <w:p>
      <w:pPr>
        <w:spacing w:after="120" w:afterLines="50" w:line="360" w:lineRule="auto"/>
        <w:jc w:val="center"/>
        <w:rPr>
          <w:b/>
          <w:sz w:val="28"/>
          <w:szCs w:val="28"/>
        </w:rPr>
      </w:pPr>
    </w:p>
    <w:p>
      <w:pPr>
        <w:spacing w:after="120" w:afterLines="50" w:line="360" w:lineRule="auto"/>
        <w:ind w:firstLine="600" w:firstLineChars="250"/>
        <w:rPr>
          <w:rFonts w:hint="eastAsia" w:ascii="宋体" w:hAnsi="宋体" w:cs="宋体"/>
          <w:sz w:val="24"/>
          <w:shd w:val="clear" w:color="auto" w:fill="FFFFFF"/>
        </w:rPr>
      </w:pPr>
      <w:r>
        <w:rPr>
          <w:rFonts w:hint="eastAsia" w:ascii="宋体" w:hAnsi="宋体" w:cs="宋体"/>
          <w:sz w:val="24"/>
          <w:shd w:val="clear" w:color="auto" w:fill="FFFFFF"/>
        </w:rPr>
        <w:t>企业社会责任报告（简称</w:t>
      </w:r>
      <w:r>
        <w:rPr>
          <w:rFonts w:hint="eastAsia" w:ascii="宋体" w:hAnsi="宋体" w:cs="宋体"/>
          <w:sz w:val="24"/>
          <w:shd w:val="clear" w:color="auto" w:fill="FFFFFF"/>
        </w:rPr>
        <w:fldChar w:fldCharType="begin"/>
      </w:r>
      <w:r>
        <w:rPr>
          <w:rFonts w:hint="eastAsia" w:ascii="宋体" w:hAnsi="宋体" w:cs="宋体"/>
          <w:sz w:val="24"/>
          <w:shd w:val="clear" w:color="auto" w:fill="FFFFFF"/>
        </w:rPr>
        <w:instrText xml:space="preserve"> HYPERLINK "https://baike.baidu.com/item/CSR" \t "_blank" </w:instrText>
      </w:r>
      <w:r>
        <w:rPr>
          <w:rFonts w:hint="eastAsia" w:ascii="宋体" w:hAnsi="宋体" w:cs="宋体"/>
          <w:sz w:val="24"/>
          <w:shd w:val="clear" w:color="auto" w:fill="FFFFFF"/>
        </w:rPr>
        <w:fldChar w:fldCharType="separate"/>
      </w:r>
      <w:r>
        <w:rPr>
          <w:rFonts w:hint="eastAsia" w:ascii="宋体" w:hAnsi="宋体" w:cs="宋体"/>
          <w:sz w:val="24"/>
        </w:rPr>
        <w:t>CSR</w:t>
      </w:r>
      <w:r>
        <w:rPr>
          <w:rFonts w:hint="eastAsia" w:ascii="宋体" w:hAnsi="宋体" w:cs="宋体"/>
          <w:sz w:val="24"/>
          <w:shd w:val="clear" w:color="auto" w:fill="FFFFFF"/>
        </w:rPr>
        <w:fldChar w:fldCharType="end"/>
      </w:r>
      <w:r>
        <w:rPr>
          <w:rFonts w:hint="eastAsia" w:ascii="宋体" w:hAnsi="宋体" w:cs="宋体"/>
          <w:sz w:val="24"/>
          <w:shd w:val="clear" w:color="auto" w:fill="FFFFFF"/>
        </w:rPr>
        <w:t>报告）指的是企业将其履行社会责任的理念、战略、方式方法，其经营活动对经济、环境、社会等领域造成的直接和间接影响、取得的成绩及不足等信息，进行系统的梳理和总结。</w:t>
      </w:r>
    </w:p>
    <w:p>
      <w:pPr>
        <w:spacing w:after="120" w:afterLines="50" w:line="360" w:lineRule="auto"/>
        <w:ind w:firstLine="600" w:firstLineChars="250"/>
        <w:rPr>
          <w:rFonts w:hint="eastAsia" w:ascii="宋体" w:hAnsi="宋体" w:cs="宋体"/>
          <w:sz w:val="24"/>
          <w:shd w:val="clear" w:color="auto" w:fill="FFFFFF"/>
        </w:rPr>
      </w:pPr>
      <w:r>
        <w:rPr>
          <w:rFonts w:hint="eastAsia" w:ascii="宋体" w:hAnsi="宋体" w:cs="宋体"/>
          <w:sz w:val="24"/>
          <w:shd w:val="clear" w:color="auto" w:fill="FFFFFF"/>
        </w:rPr>
        <w:t>《</w:t>
      </w:r>
      <w:r>
        <w:rPr>
          <w:rFonts w:hint="eastAsia" w:ascii="宋体" w:hAnsi="宋体" w:eastAsia="宋体" w:cs="宋体"/>
          <w:sz w:val="24"/>
          <w:shd w:val="clear" w:color="auto" w:fill="FFFFFF"/>
          <w:lang w:eastAsia="zh-CN"/>
        </w:rPr>
        <w:t>浙江华晟金属制品</w:t>
      </w:r>
      <w:r>
        <w:rPr>
          <w:rFonts w:hint="eastAsia" w:ascii="宋体" w:hAnsi="宋体" w:eastAsia="Calibri" w:cs="宋体"/>
          <w:sz w:val="24"/>
          <w:shd w:val="clear" w:color="auto" w:fill="FFFFFF"/>
        </w:rPr>
        <w:t>有限公司</w:t>
      </w:r>
      <w:r>
        <w:rPr>
          <w:rFonts w:hint="eastAsia" w:ascii="宋体" w:hAnsi="宋体" w:cs="宋体"/>
          <w:sz w:val="24"/>
          <w:shd w:val="clear" w:color="auto" w:fill="FFFFFF"/>
        </w:rPr>
        <w:t>20</w:t>
      </w:r>
      <w:r>
        <w:rPr>
          <w:rFonts w:hint="eastAsia" w:ascii="宋体" w:hAnsi="宋体" w:cs="宋体"/>
          <w:sz w:val="24"/>
          <w:shd w:val="clear" w:color="auto" w:fill="FFFFFF"/>
          <w:lang w:val="en-US" w:eastAsia="zh-CN"/>
        </w:rPr>
        <w:t>20</w:t>
      </w:r>
      <w:r>
        <w:rPr>
          <w:rFonts w:hint="eastAsia" w:ascii="宋体" w:hAnsi="宋体" w:cs="宋体"/>
          <w:sz w:val="24"/>
          <w:shd w:val="clear" w:color="auto" w:fill="FFFFFF"/>
        </w:rPr>
        <w:t>年度社会责任报告》(以下简称“报告”)，是</w:t>
      </w:r>
      <w:r>
        <w:rPr>
          <w:rFonts w:hint="eastAsia" w:ascii="宋体" w:hAnsi="宋体" w:eastAsia="宋体" w:cs="宋体"/>
          <w:sz w:val="24"/>
          <w:shd w:val="clear" w:color="auto" w:fill="FFFFFF"/>
          <w:lang w:eastAsia="zh-CN"/>
        </w:rPr>
        <w:t>浙江华晟金属制品</w:t>
      </w:r>
      <w:r>
        <w:rPr>
          <w:rFonts w:hint="eastAsia" w:ascii="宋体" w:hAnsi="宋体" w:cs="宋体"/>
          <w:sz w:val="24"/>
          <w:shd w:val="clear" w:color="auto" w:fill="FFFFFF"/>
          <w:lang w:val="en-US" w:eastAsia="zh-CN"/>
        </w:rPr>
        <w:t>机</w:t>
      </w:r>
      <w:r>
        <w:rPr>
          <w:rFonts w:hint="eastAsia" w:ascii="宋体" w:hAnsi="宋体" w:cs="宋体"/>
          <w:sz w:val="24"/>
          <w:shd w:val="clear" w:color="auto" w:fill="FFFFFF"/>
          <w:lang w:eastAsia="zh-CN"/>
        </w:rPr>
        <w:t>有限公司</w:t>
      </w:r>
      <w:r>
        <w:rPr>
          <w:rFonts w:hint="eastAsia" w:ascii="宋体" w:hAnsi="宋体" w:cs="宋体"/>
          <w:sz w:val="24"/>
          <w:shd w:val="clear" w:color="auto" w:fill="FFFFFF"/>
        </w:rPr>
        <w:t>发布的首份企业社会责任报告，也是</w:t>
      </w:r>
      <w:r>
        <w:rPr>
          <w:rFonts w:hint="eastAsia" w:ascii="宋体" w:hAnsi="宋体" w:eastAsia="宋体" w:cs="宋体"/>
          <w:sz w:val="24"/>
          <w:shd w:val="clear" w:color="auto" w:fill="FFFFFF"/>
          <w:lang w:eastAsia="zh-CN"/>
        </w:rPr>
        <w:t>浙江华晟金属制品</w:t>
      </w:r>
      <w:r>
        <w:rPr>
          <w:rFonts w:hint="eastAsia" w:ascii="宋体" w:hAnsi="宋体" w:cs="宋体"/>
          <w:sz w:val="24"/>
          <w:shd w:val="clear" w:color="auto" w:fill="FFFFFF"/>
        </w:rPr>
        <w:t>在20</w:t>
      </w:r>
      <w:r>
        <w:rPr>
          <w:rFonts w:hint="eastAsia" w:ascii="宋体" w:hAnsi="宋体" w:eastAsia="宋体" w:cs="宋体"/>
          <w:sz w:val="24"/>
          <w:shd w:val="clear" w:color="auto" w:fill="FFFFFF"/>
          <w:lang w:val="en-US" w:eastAsia="zh-CN"/>
        </w:rPr>
        <w:t>20</w:t>
      </w:r>
      <w:r>
        <w:rPr>
          <w:rFonts w:hint="eastAsia" w:ascii="宋体" w:hAnsi="宋体" w:cs="宋体"/>
          <w:sz w:val="24"/>
          <w:shd w:val="clear" w:color="auto" w:fill="FFFFFF"/>
        </w:rPr>
        <w:t>年度履行社会责任的整体报告。本报告真实、客观地反映和披露了20</w:t>
      </w:r>
      <w:r>
        <w:rPr>
          <w:rFonts w:hint="eastAsia" w:ascii="宋体" w:hAnsi="宋体" w:cs="宋体"/>
          <w:sz w:val="24"/>
          <w:shd w:val="clear" w:color="auto" w:fill="FFFFFF"/>
          <w:lang w:val="en-US" w:eastAsia="zh-CN"/>
        </w:rPr>
        <w:t>20</w:t>
      </w:r>
      <w:r>
        <w:rPr>
          <w:rFonts w:hint="eastAsia" w:ascii="宋体" w:hAnsi="宋体" w:cs="宋体"/>
          <w:sz w:val="24"/>
          <w:shd w:val="clear" w:color="auto" w:fill="FFFFFF"/>
        </w:rPr>
        <w:t>年度公司在构建和谐社会、推进经济社会可持续发展、自然环境和资源保护，以及对公司股东、债权人、员工、供应商、消费者等利益相关方积极承担和履行社会责任的总体表现。本公司保证报告中所载资料不存在任何虚假记载、误导性陈述，并对其内容的真实性、准确性承担责任。</w:t>
      </w:r>
    </w:p>
    <w:p>
      <w:pPr>
        <w:spacing w:after="120" w:afterLines="50" w:line="360" w:lineRule="auto"/>
        <w:ind w:firstLine="600" w:firstLineChars="250"/>
        <w:rPr>
          <w:rFonts w:hint="eastAsia" w:ascii="宋体" w:hAnsi="宋体" w:cs="宋体"/>
          <w:sz w:val="24"/>
          <w:shd w:val="clear" w:color="auto" w:fill="FFFFFF"/>
        </w:rPr>
      </w:pPr>
      <w:r>
        <w:rPr>
          <w:rFonts w:hint="eastAsia" w:ascii="宋体" w:hAnsi="宋体" w:cs="宋体"/>
          <w:sz w:val="24"/>
          <w:shd w:val="clear" w:color="auto" w:fill="FFFFFF"/>
        </w:rPr>
        <w:t>本报告参考中国社科院《中国企业社会责任报告编制指南》(CASS-CSR3.0)编写。</w:t>
      </w:r>
    </w:p>
    <w:p>
      <w:pPr>
        <w:spacing w:after="120" w:afterLines="50" w:line="360" w:lineRule="auto"/>
        <w:ind w:firstLine="600" w:firstLineChars="250"/>
        <w:rPr>
          <w:rFonts w:hint="eastAsia" w:ascii="宋体" w:hAnsi="宋体" w:cs="宋体"/>
          <w:sz w:val="24"/>
          <w:shd w:val="clear" w:color="auto" w:fill="FFFFFF"/>
        </w:rPr>
      </w:pPr>
      <w:r>
        <w:rPr>
          <w:rFonts w:hint="eastAsia" w:ascii="宋体" w:hAnsi="宋体" w:cs="宋体"/>
          <w:sz w:val="24"/>
          <w:shd w:val="clear" w:color="auto" w:fill="FFFFFF"/>
        </w:rPr>
        <w:t xml:space="preserve">报告组织范围: </w:t>
      </w:r>
      <w:r>
        <w:rPr>
          <w:rFonts w:hint="eastAsia" w:ascii="宋体" w:hAnsi="宋体" w:eastAsia="宋体" w:cs="宋体"/>
          <w:sz w:val="24"/>
          <w:shd w:val="clear" w:color="auto" w:fill="FFFFFF"/>
          <w:lang w:eastAsia="zh-CN"/>
        </w:rPr>
        <w:t>浙江华晟金属制品</w:t>
      </w:r>
      <w:r>
        <w:rPr>
          <w:rFonts w:hint="eastAsia" w:ascii="宋体" w:hAnsi="宋体" w:cs="宋体"/>
          <w:sz w:val="24"/>
          <w:shd w:val="clear" w:color="auto" w:fill="FFFFFF"/>
          <w:lang w:eastAsia="zh-CN"/>
        </w:rPr>
        <w:t>有限公司</w:t>
      </w:r>
      <w:r>
        <w:rPr>
          <w:rFonts w:hint="eastAsia" w:ascii="宋体" w:hAnsi="宋体" w:cs="宋体"/>
          <w:sz w:val="24"/>
          <w:shd w:val="clear" w:color="auto" w:fill="FFFFFF"/>
        </w:rPr>
        <w:t>。</w:t>
      </w:r>
    </w:p>
    <w:p>
      <w:pPr>
        <w:spacing w:after="120" w:afterLines="50" w:line="360" w:lineRule="auto"/>
        <w:ind w:firstLine="600" w:firstLineChars="250"/>
        <w:rPr>
          <w:rFonts w:hint="eastAsia" w:ascii="宋体" w:hAnsi="宋体" w:cs="宋体"/>
          <w:sz w:val="24"/>
          <w:shd w:val="clear" w:color="auto" w:fill="FFFFFF"/>
        </w:rPr>
      </w:pPr>
      <w:r>
        <w:rPr>
          <w:rFonts w:hint="eastAsia" w:ascii="宋体" w:hAnsi="宋体" w:cs="宋体"/>
          <w:sz w:val="24"/>
          <w:shd w:val="clear" w:color="auto" w:fill="FFFFFF"/>
        </w:rPr>
        <w:t>报告时间范围: 20</w:t>
      </w:r>
      <w:r>
        <w:rPr>
          <w:rFonts w:hint="eastAsia" w:ascii="宋体" w:hAnsi="宋体" w:eastAsia="宋体" w:cs="宋体"/>
          <w:sz w:val="24"/>
          <w:shd w:val="clear" w:color="auto" w:fill="FFFFFF"/>
          <w:lang w:val="en-US" w:eastAsia="zh-CN"/>
        </w:rPr>
        <w:t>20</w:t>
      </w:r>
      <w:r>
        <w:rPr>
          <w:rFonts w:hint="eastAsia" w:ascii="宋体" w:hAnsi="宋体" w:cs="宋体"/>
          <w:sz w:val="24"/>
          <w:shd w:val="clear" w:color="auto" w:fill="FFFFFF"/>
        </w:rPr>
        <w:t>年1月- -20</w:t>
      </w:r>
      <w:r>
        <w:rPr>
          <w:rFonts w:hint="eastAsia" w:ascii="宋体" w:hAnsi="宋体" w:cs="宋体"/>
          <w:sz w:val="24"/>
          <w:shd w:val="clear" w:color="auto" w:fill="FFFFFF"/>
          <w:lang w:val="en-US" w:eastAsia="zh-CN"/>
        </w:rPr>
        <w:t>20</w:t>
      </w:r>
      <w:r>
        <w:rPr>
          <w:rFonts w:hint="eastAsia" w:ascii="宋体" w:hAnsi="宋体" w:cs="宋体"/>
          <w:sz w:val="24"/>
          <w:shd w:val="clear" w:color="auto" w:fill="FFFFFF"/>
        </w:rPr>
        <w:t>年1</w:t>
      </w:r>
      <w:r>
        <w:rPr>
          <w:rFonts w:hint="eastAsia" w:ascii="宋体" w:hAnsi="宋体" w:eastAsia="宋体" w:cs="宋体"/>
          <w:sz w:val="24"/>
          <w:shd w:val="clear" w:color="auto" w:fill="FFFFFF"/>
          <w:lang w:val="en-US" w:eastAsia="zh-CN"/>
        </w:rPr>
        <w:t>2</w:t>
      </w:r>
      <w:r>
        <w:rPr>
          <w:rFonts w:hint="eastAsia" w:ascii="宋体" w:hAnsi="宋体" w:cs="宋体"/>
          <w:sz w:val="24"/>
          <w:shd w:val="clear" w:color="auto" w:fill="FFFFFF"/>
        </w:rPr>
        <w:t>月。部分数据超出此范围，以文中说明为准。</w:t>
      </w:r>
    </w:p>
    <w:p>
      <w:pPr>
        <w:spacing w:after="120" w:afterLines="50" w:line="360" w:lineRule="auto"/>
        <w:ind w:firstLine="600" w:firstLineChars="250"/>
        <w:rPr>
          <w:rFonts w:hint="eastAsia" w:ascii="宋体" w:hAnsi="宋体" w:cs="宋体"/>
          <w:sz w:val="24"/>
          <w:shd w:val="clear" w:color="auto" w:fill="FFFFFF"/>
        </w:rPr>
      </w:pPr>
      <w:r>
        <w:rPr>
          <w:rFonts w:hint="eastAsia" w:ascii="宋体" w:hAnsi="宋体" w:cs="宋体"/>
          <w:sz w:val="24"/>
          <w:shd w:val="clear" w:color="auto" w:fill="FFFFFF"/>
        </w:rPr>
        <w:t>报告发布周期：以年度为一个周期。本报告为首次发布。</w:t>
      </w:r>
    </w:p>
    <w:p>
      <w:pPr>
        <w:spacing w:after="120" w:afterLines="50" w:line="360" w:lineRule="auto"/>
        <w:ind w:firstLine="600" w:firstLineChars="250"/>
        <w:rPr>
          <w:rFonts w:hint="eastAsia" w:ascii="宋体" w:hAnsi="宋体" w:cs="宋体"/>
          <w:sz w:val="24"/>
          <w:shd w:val="clear" w:color="auto" w:fill="FFFFFF"/>
        </w:rPr>
      </w:pPr>
      <w:r>
        <w:rPr>
          <w:rFonts w:hint="eastAsia" w:ascii="宋体" w:hAnsi="宋体" w:cs="宋体"/>
          <w:sz w:val="24"/>
          <w:shd w:val="clear" w:color="auto" w:fill="FFFFFF"/>
        </w:rPr>
        <w:t>报告公示范围：本报告以书面形式公布给相关方。</w:t>
      </w:r>
    </w:p>
    <w:p>
      <w:pPr>
        <w:pStyle w:val="11"/>
        <w:spacing w:line="360" w:lineRule="auto"/>
        <w:ind w:left="0" w:leftChars="0" w:firstLine="638" w:firstLineChars="266"/>
        <w:rPr>
          <w:rFonts w:hint="default" w:ascii="宋体" w:hAnsi="宋体" w:cs="宋体"/>
          <w:color w:val="FF0000"/>
          <w:sz w:val="24"/>
          <w:shd w:val="clear" w:color="auto" w:fill="FFFFFF"/>
          <w:lang w:val="en-US" w:eastAsia="zh-CN"/>
        </w:rPr>
        <w:sectPr>
          <w:pgSz w:w="11907" w:h="16840"/>
          <w:pgMar w:top="1540" w:right="1100" w:bottom="1160" w:left="1300" w:header="849" w:footer="979" w:gutter="0"/>
          <w:pgBorders w:offsetFrom="page">
            <w:top w:val="none" w:sz="0" w:space="0"/>
            <w:left w:val="none" w:sz="0" w:space="0"/>
            <w:bottom w:val="none" w:sz="0" w:space="0"/>
            <w:right w:val="none" w:sz="0" w:space="0"/>
          </w:pgBorders>
          <w:cols w:space="720" w:num="1"/>
        </w:sectPr>
      </w:pPr>
      <w:r>
        <w:rPr>
          <w:rFonts w:hint="eastAsia" w:ascii="宋体" w:hAnsi="宋体" w:cs="宋体"/>
          <w:sz w:val="24"/>
          <w:shd w:val="clear" w:color="auto" w:fill="FFFFFF"/>
          <w:lang w:val="en-US" w:eastAsia="zh-CN"/>
        </w:rPr>
        <w:t>报告获</w:t>
      </w:r>
      <w:r>
        <w:rPr>
          <w:rFonts w:hint="eastAsia" w:ascii="宋体" w:hAnsi="宋体" w:cs="宋体"/>
          <w:kern w:val="2"/>
          <w:sz w:val="24"/>
          <w:szCs w:val="24"/>
          <w:shd w:val="clear" w:color="auto" w:fill="FFFFFF"/>
          <w:lang w:val="en-US" w:eastAsia="zh-CN" w:bidi="ar-SA"/>
        </w:rPr>
        <w:t>取方式：</w:t>
      </w:r>
      <w:r>
        <w:rPr>
          <w:rFonts w:hint="eastAsia" w:ascii="宋体" w:cs="宋体"/>
          <w:color w:val="000000"/>
          <w:kern w:val="0"/>
          <w:sz w:val="24"/>
          <w:szCs w:val="24"/>
        </w:rPr>
        <w:t>http://www.zjhsjszp.com</w:t>
      </w:r>
      <w:r>
        <w:rPr>
          <w:rFonts w:hint="eastAsia" w:ascii="宋体" w:eastAsia="宋体" w:cs="宋体"/>
          <w:color w:val="000000"/>
          <w:kern w:val="0"/>
          <w:sz w:val="24"/>
          <w:szCs w:val="24"/>
          <w:lang w:eastAsia="zh-CN"/>
        </w:rPr>
        <w:t>。</w:t>
      </w:r>
      <w:r>
        <w:rPr>
          <w:rFonts w:hint="eastAsia" w:ascii="宋体" w:hAnsi="宋体" w:cs="宋体"/>
          <w:kern w:val="2"/>
          <w:sz w:val="24"/>
          <w:szCs w:val="24"/>
          <w:shd w:val="clear" w:color="auto" w:fill="FFFFFF"/>
          <w:lang w:val="en-US" w:eastAsia="zh-CN" w:bidi="ar-SA"/>
        </w:rPr>
        <w:t xml:space="preserve"> </w:t>
      </w:r>
    </w:p>
    <w:p>
      <w:pPr>
        <w:spacing w:after="156" w:afterLines="50" w:line="360" w:lineRule="auto"/>
        <w:jc w:val="center"/>
        <w:rPr>
          <w:rFonts w:hint="eastAsia"/>
          <w:b/>
          <w:sz w:val="28"/>
          <w:szCs w:val="28"/>
        </w:rPr>
      </w:pPr>
      <w:r>
        <w:rPr>
          <w:rFonts w:hint="eastAsia"/>
          <w:b/>
          <w:sz w:val="28"/>
          <w:szCs w:val="28"/>
        </w:rPr>
        <w:t>前  言</w:t>
      </w:r>
    </w:p>
    <w:p>
      <w:pPr>
        <w:spacing w:line="360" w:lineRule="auto"/>
        <w:ind w:firstLine="480" w:firstLineChars="200"/>
        <w:rPr>
          <w:sz w:val="24"/>
        </w:rPr>
      </w:pPr>
      <w:r>
        <w:rPr>
          <w:rFonts w:hint="eastAsia"/>
          <w:sz w:val="24"/>
        </w:rPr>
        <w:t>浙江华晟金属制品有限公司是一家专业研发和生产耐磨高锰钢铸件的企业。坐落在温泉之城，环境怡人的浙江武义。</w:t>
      </w:r>
    </w:p>
    <w:p>
      <w:pPr>
        <w:adjustRightInd w:val="0"/>
        <w:snapToGrid w:val="0"/>
        <w:spacing w:before="156" w:beforeLines="50" w:line="360" w:lineRule="auto"/>
        <w:ind w:firstLine="540"/>
        <w:rPr>
          <w:rFonts w:hint="eastAsia"/>
          <w:sz w:val="24"/>
        </w:rPr>
      </w:pPr>
      <w:r>
        <w:rPr>
          <w:rFonts w:hint="eastAsia"/>
          <w:b/>
          <w:sz w:val="24"/>
        </w:rPr>
        <w:t>职业健康安全、节能环保：</w:t>
      </w:r>
      <w:r>
        <w:rPr>
          <w:rFonts w:hint="eastAsia"/>
          <w:sz w:val="24"/>
        </w:rPr>
        <w:t>公司从厂区规划、工艺设计、选用设备等各个环节，始终专注环保、节能、员工的职业健康安全为首要前提，倡导绿色铸造。以创新来驱动，以质量为中心成为耐磨材料铸造行业的领先企业。</w:t>
      </w:r>
    </w:p>
    <w:p>
      <w:pPr>
        <w:adjustRightInd w:val="0"/>
        <w:snapToGrid w:val="0"/>
        <w:spacing w:before="156" w:beforeLines="50" w:line="360" w:lineRule="auto"/>
        <w:ind w:firstLine="540"/>
        <w:rPr>
          <w:rFonts w:hint="eastAsia"/>
          <w:sz w:val="24"/>
        </w:rPr>
      </w:pPr>
      <w:r>
        <w:rPr>
          <w:rFonts w:hint="eastAsia"/>
          <w:b/>
          <w:sz w:val="24"/>
        </w:rPr>
        <w:t>设备工艺：</w:t>
      </w:r>
      <w:r>
        <w:rPr>
          <w:rFonts w:hint="eastAsia"/>
          <w:sz w:val="24"/>
        </w:rPr>
        <w:t>我们瞄准标杆企业，前沿科技。同福士科铸造材料（中国）有限公司等具有先进制造、环保领先的企业建立了紧密的战略合作伙伴关系，采用先进的酰硬化碱醛树脂工艺，选用一流的加工设备，配备了能全要素检测的先进设备，使各个环节处在受控状态，使产品质量达到发达国家标准，最终形成华晟自己的产品标准，让企业更好地良性循环发展，铸造精品，服务全球。</w:t>
      </w:r>
    </w:p>
    <w:p>
      <w:pPr>
        <w:adjustRightInd w:val="0"/>
        <w:snapToGrid w:val="0"/>
        <w:spacing w:before="156" w:beforeLines="50" w:line="360" w:lineRule="auto"/>
        <w:ind w:firstLine="540"/>
        <w:rPr>
          <w:rFonts w:hint="eastAsia"/>
          <w:b/>
          <w:sz w:val="24"/>
        </w:rPr>
      </w:pPr>
      <w:r>
        <w:rPr>
          <w:rFonts w:hint="eastAsia"/>
          <w:b/>
          <w:sz w:val="24"/>
        </w:rPr>
        <w:t>生产能力：</w:t>
      </w:r>
      <w:r>
        <w:rPr>
          <w:rFonts w:hint="eastAsia"/>
          <w:sz w:val="24"/>
        </w:rPr>
        <w:t>设计年生产能力15000吨，单件产品重量可达10吨。</w:t>
      </w:r>
    </w:p>
    <w:p>
      <w:pPr>
        <w:adjustRightInd w:val="0"/>
        <w:snapToGrid w:val="0"/>
        <w:spacing w:before="156" w:beforeLines="50"/>
        <w:ind w:firstLine="540"/>
        <w:rPr>
          <w:sz w:val="24"/>
        </w:rPr>
      </w:pPr>
      <w:r>
        <w:rPr>
          <w:sz w:val="24"/>
        </w:rPr>
        <w:t>名称：浙江华晟金属制品有限公司</w:t>
      </w:r>
    </w:p>
    <w:p>
      <w:pPr>
        <w:adjustRightInd w:val="0"/>
        <w:snapToGrid w:val="0"/>
        <w:spacing w:before="156" w:beforeLines="50"/>
        <w:ind w:firstLine="540"/>
        <w:rPr>
          <w:sz w:val="24"/>
        </w:rPr>
      </w:pPr>
      <w:r>
        <w:rPr>
          <w:sz w:val="24"/>
        </w:rPr>
        <w:t>地址：中华人民共和国浙江省</w:t>
      </w:r>
      <w:r>
        <w:rPr>
          <w:rFonts w:hint="eastAsia"/>
          <w:sz w:val="24"/>
        </w:rPr>
        <w:t>金华</w:t>
      </w:r>
      <w:r>
        <w:rPr>
          <w:sz w:val="24"/>
        </w:rPr>
        <w:t>市</w:t>
      </w:r>
      <w:r>
        <w:rPr>
          <w:rFonts w:hint="eastAsia"/>
          <w:sz w:val="24"/>
        </w:rPr>
        <w:t>武义县黄龙工业区莹乡路13号</w:t>
      </w:r>
    </w:p>
    <w:p>
      <w:pPr>
        <w:adjustRightInd w:val="0"/>
        <w:snapToGrid w:val="0"/>
        <w:spacing w:before="156" w:beforeLines="50"/>
        <w:ind w:firstLine="540"/>
        <w:rPr>
          <w:rFonts w:hint="eastAsia"/>
          <w:sz w:val="24"/>
        </w:rPr>
      </w:pPr>
      <w:r>
        <w:rPr>
          <w:sz w:val="24"/>
        </w:rPr>
        <w:t>电话：0086-57</w:t>
      </w:r>
      <w:r>
        <w:rPr>
          <w:rFonts w:hint="eastAsia"/>
          <w:sz w:val="24"/>
        </w:rPr>
        <w:t>9</w:t>
      </w:r>
      <w:r>
        <w:rPr>
          <w:sz w:val="24"/>
        </w:rPr>
        <w:t>-</w:t>
      </w:r>
      <w:r>
        <w:rPr>
          <w:rFonts w:hint="eastAsia"/>
          <w:sz w:val="24"/>
        </w:rPr>
        <w:t>87610429</w:t>
      </w:r>
    </w:p>
    <w:p>
      <w:pPr>
        <w:adjustRightInd w:val="0"/>
        <w:snapToGrid w:val="0"/>
        <w:spacing w:before="156" w:beforeLines="50"/>
        <w:ind w:firstLine="540"/>
        <w:rPr>
          <w:sz w:val="24"/>
        </w:rPr>
      </w:pPr>
      <w:r>
        <w:rPr>
          <w:sz w:val="24"/>
        </w:rPr>
        <w:t>传真：0086-57</w:t>
      </w:r>
      <w:r>
        <w:rPr>
          <w:rFonts w:hint="eastAsia"/>
          <w:sz w:val="24"/>
        </w:rPr>
        <w:t>9</w:t>
      </w:r>
      <w:r>
        <w:rPr>
          <w:sz w:val="24"/>
        </w:rPr>
        <w:t>-</w:t>
      </w:r>
      <w:r>
        <w:rPr>
          <w:rFonts w:hint="eastAsia"/>
          <w:sz w:val="24"/>
        </w:rPr>
        <w:t>87610458</w:t>
      </w:r>
    </w:p>
    <w:p>
      <w:pPr>
        <w:adjustRightInd w:val="0"/>
        <w:snapToGrid w:val="0"/>
        <w:spacing w:before="156" w:beforeLines="50"/>
        <w:ind w:firstLine="540"/>
        <w:rPr>
          <w:rFonts w:hint="eastAsia" w:eastAsia="宋体"/>
          <w:sz w:val="24"/>
          <w:lang w:eastAsia="zh-CN"/>
        </w:rPr>
      </w:pPr>
      <w:r>
        <w:rPr>
          <w:rFonts w:hint="eastAsia"/>
          <w:sz w:val="24"/>
        </w:rPr>
        <w:t>网址：</w:t>
      </w:r>
      <w:r>
        <w:rPr>
          <w:rFonts w:hint="eastAsia"/>
          <w:sz w:val="24"/>
        </w:rPr>
        <w:fldChar w:fldCharType="begin"/>
      </w:r>
      <w:r>
        <w:rPr>
          <w:rFonts w:hint="eastAsia"/>
          <w:sz w:val="24"/>
        </w:rPr>
        <w:instrText xml:space="preserve"> HYPERLINK "http://www.zjhsjszp.com。" </w:instrText>
      </w:r>
      <w:r>
        <w:rPr>
          <w:rFonts w:hint="eastAsia"/>
          <w:sz w:val="24"/>
        </w:rPr>
        <w:fldChar w:fldCharType="separate"/>
      </w:r>
      <w:r>
        <w:rPr>
          <w:rStyle w:val="40"/>
          <w:rFonts w:hint="eastAsia"/>
          <w:sz w:val="24"/>
        </w:rPr>
        <w:t>www.zjhsjszp.com</w:t>
      </w:r>
      <w:r>
        <w:rPr>
          <w:rStyle w:val="40"/>
          <w:rFonts w:hint="eastAsia" w:eastAsia="宋体"/>
          <w:sz w:val="24"/>
          <w:lang w:eastAsia="zh-CN"/>
        </w:rPr>
        <w:t>。</w:t>
      </w:r>
      <w:r>
        <w:rPr>
          <w:rFonts w:hint="eastAsia"/>
          <w:sz w:val="24"/>
        </w:rPr>
        <w:fldChar w:fldCharType="end"/>
      </w:r>
    </w:p>
    <w:p>
      <w:pPr>
        <w:adjustRightInd w:val="0"/>
        <w:snapToGrid w:val="0"/>
        <w:spacing w:before="156" w:beforeLines="50"/>
        <w:ind w:firstLine="540"/>
        <w:rPr>
          <w:rFonts w:hint="eastAsia" w:eastAsia="宋体"/>
          <w:sz w:val="24"/>
          <w:lang w:eastAsia="zh-CN"/>
        </w:rPr>
      </w:pPr>
    </w:p>
    <w:p>
      <w:pPr>
        <w:adjustRightInd w:val="0"/>
        <w:snapToGrid w:val="0"/>
        <w:spacing w:before="156" w:beforeLines="50"/>
        <w:ind w:firstLine="540"/>
        <w:rPr>
          <w:rFonts w:hint="eastAsia" w:eastAsia="宋体"/>
          <w:sz w:val="24"/>
          <w:lang w:eastAsia="zh-CN"/>
        </w:rPr>
      </w:pPr>
    </w:p>
    <w:p>
      <w:pPr>
        <w:adjustRightInd w:val="0"/>
        <w:snapToGrid w:val="0"/>
        <w:spacing w:before="156" w:beforeLines="50"/>
        <w:ind w:firstLine="540"/>
        <w:rPr>
          <w:rFonts w:hint="eastAsia" w:eastAsia="宋体"/>
          <w:sz w:val="24"/>
          <w:lang w:eastAsia="zh-CN"/>
        </w:rPr>
      </w:pPr>
    </w:p>
    <w:p>
      <w:pPr>
        <w:adjustRightInd w:val="0"/>
        <w:snapToGrid w:val="0"/>
        <w:spacing w:before="156" w:beforeLines="50"/>
        <w:ind w:firstLine="540"/>
        <w:rPr>
          <w:rFonts w:hint="eastAsia" w:eastAsia="宋体"/>
          <w:sz w:val="24"/>
          <w:lang w:eastAsia="zh-CN"/>
        </w:rPr>
      </w:pPr>
    </w:p>
    <w:p>
      <w:pPr>
        <w:adjustRightInd w:val="0"/>
        <w:snapToGrid w:val="0"/>
        <w:spacing w:before="156" w:beforeLines="50"/>
        <w:ind w:firstLine="540"/>
        <w:rPr>
          <w:rFonts w:hint="eastAsia" w:eastAsia="宋体"/>
          <w:sz w:val="24"/>
          <w:lang w:eastAsia="zh-CN"/>
        </w:rPr>
      </w:pPr>
    </w:p>
    <w:p>
      <w:pPr>
        <w:adjustRightInd w:val="0"/>
        <w:snapToGrid w:val="0"/>
        <w:spacing w:before="156" w:beforeLines="50"/>
        <w:ind w:firstLine="540"/>
        <w:rPr>
          <w:rFonts w:hint="eastAsia" w:eastAsia="宋体"/>
          <w:sz w:val="24"/>
          <w:lang w:eastAsia="zh-CN"/>
        </w:rPr>
      </w:pPr>
    </w:p>
    <w:p>
      <w:pPr>
        <w:adjustRightInd w:val="0"/>
        <w:snapToGrid w:val="0"/>
        <w:spacing w:before="156" w:beforeLines="50"/>
        <w:ind w:firstLine="540"/>
        <w:rPr>
          <w:rFonts w:hint="eastAsia" w:eastAsia="宋体"/>
          <w:sz w:val="24"/>
          <w:lang w:eastAsia="zh-CN"/>
        </w:rPr>
      </w:pPr>
    </w:p>
    <w:p>
      <w:pPr>
        <w:adjustRightInd w:val="0"/>
        <w:snapToGrid w:val="0"/>
        <w:spacing w:before="156" w:beforeLines="50"/>
        <w:ind w:firstLine="540"/>
        <w:rPr>
          <w:rFonts w:hint="eastAsia" w:eastAsia="宋体"/>
          <w:sz w:val="24"/>
          <w:lang w:eastAsia="zh-CN"/>
        </w:rPr>
      </w:pPr>
    </w:p>
    <w:p>
      <w:pPr>
        <w:adjustRightInd w:val="0"/>
        <w:snapToGrid w:val="0"/>
        <w:spacing w:before="156" w:beforeLines="50"/>
        <w:ind w:firstLine="540"/>
        <w:rPr>
          <w:rFonts w:hint="eastAsia" w:eastAsia="宋体"/>
          <w:sz w:val="24"/>
          <w:lang w:eastAsia="zh-CN"/>
        </w:rPr>
      </w:pPr>
    </w:p>
    <w:p>
      <w:pPr>
        <w:adjustRightInd w:val="0"/>
        <w:snapToGrid w:val="0"/>
        <w:spacing w:before="156" w:beforeLines="50"/>
        <w:ind w:firstLine="540"/>
        <w:rPr>
          <w:rFonts w:hint="eastAsia" w:eastAsia="宋体"/>
          <w:sz w:val="24"/>
          <w:lang w:eastAsia="zh-CN"/>
        </w:rPr>
      </w:pPr>
    </w:p>
    <w:p>
      <w:pPr>
        <w:adjustRightInd w:val="0"/>
        <w:snapToGrid w:val="0"/>
        <w:spacing w:before="156" w:beforeLines="50"/>
        <w:ind w:firstLine="540"/>
        <w:rPr>
          <w:rFonts w:hint="eastAsia" w:eastAsia="宋体"/>
          <w:sz w:val="24"/>
          <w:lang w:eastAsia="zh-CN"/>
        </w:rPr>
      </w:pPr>
    </w:p>
    <w:p>
      <w:pPr>
        <w:adjustRightInd w:val="0"/>
        <w:snapToGrid w:val="0"/>
        <w:spacing w:before="156" w:beforeLines="50"/>
        <w:ind w:firstLine="540"/>
        <w:rPr>
          <w:rFonts w:hint="eastAsia" w:eastAsia="宋体"/>
          <w:sz w:val="24"/>
          <w:lang w:eastAsia="zh-CN"/>
        </w:rPr>
      </w:pPr>
    </w:p>
    <w:p>
      <w:pPr>
        <w:numPr>
          <w:ilvl w:val="0"/>
          <w:numId w:val="1"/>
        </w:numPr>
        <w:spacing w:line="360" w:lineRule="auto"/>
        <w:rPr>
          <w:rFonts w:hint="eastAsia" w:ascii="黑体" w:hAnsi="黑体" w:eastAsia="黑体"/>
          <w:b/>
          <w:sz w:val="28"/>
          <w:szCs w:val="21"/>
        </w:rPr>
      </w:pPr>
      <w:r>
        <w:rPr>
          <w:rFonts w:hint="eastAsia" w:ascii="黑体" w:hAnsi="黑体" w:eastAsia="黑体"/>
          <w:b/>
          <w:sz w:val="28"/>
          <w:szCs w:val="21"/>
        </w:rPr>
        <w:t>注重文化建设的社会责任</w:t>
      </w:r>
    </w:p>
    <w:p>
      <w:pPr>
        <w:spacing w:line="360" w:lineRule="auto"/>
        <w:ind w:left="560" w:firstLine="120" w:firstLineChars="50"/>
        <w:rPr>
          <w:rFonts w:hint="eastAsia" w:ascii="宋体" w:hAnsi="宋体"/>
          <w:sz w:val="24"/>
        </w:rPr>
      </w:pPr>
      <w:r>
        <w:rPr>
          <w:rFonts w:hint="eastAsia" w:ascii="宋体" w:hAnsi="宋体"/>
          <w:sz w:val="24"/>
        </w:rPr>
        <w:t>公司管理层十分重视企业文化建设，提出了公司的价值观和愿景：</w:t>
      </w:r>
    </w:p>
    <w:p>
      <w:pPr>
        <w:spacing w:line="360" w:lineRule="auto"/>
        <w:ind w:left="560" w:firstLine="120" w:firstLineChars="50"/>
        <w:rPr>
          <w:rFonts w:ascii="宋体" w:hAnsi="宋体"/>
          <w:b w:val="0"/>
          <w:bCs w:val="0"/>
          <w:sz w:val="24"/>
        </w:rPr>
      </w:pPr>
      <w:r>
        <w:rPr>
          <w:rFonts w:hint="eastAsia" w:ascii="宋体" w:hAnsi="宋体"/>
          <w:b/>
          <w:sz w:val="24"/>
        </w:rPr>
        <w:t>使命：</w:t>
      </w:r>
      <w:r>
        <w:rPr>
          <w:rFonts w:hint="eastAsia"/>
          <w:b w:val="0"/>
          <w:bCs w:val="0"/>
          <w:kern w:val="0"/>
          <w:sz w:val="24"/>
          <w:szCs w:val="24"/>
        </w:rPr>
        <w:t>“</w:t>
      </w:r>
      <w:r>
        <w:rPr>
          <w:rFonts w:hint="eastAsia" w:ascii="宋体" w:hAnsi="宋体" w:eastAsia="宋体" w:cs="宋体"/>
          <w:color w:val="000000"/>
          <w:kern w:val="0"/>
          <w:sz w:val="21"/>
          <w:szCs w:val="21"/>
          <w:lang w:val="en-US" w:eastAsia="zh-CN" w:bidi="ar"/>
        </w:rPr>
        <w:t>为客户创造价值、为员工创造理想、为股东创造效益、为社会创造福祉</w:t>
      </w:r>
      <w:r>
        <w:rPr>
          <w:rFonts w:hint="eastAsia"/>
          <w:b w:val="0"/>
          <w:bCs w:val="0"/>
          <w:kern w:val="0"/>
          <w:sz w:val="24"/>
          <w:szCs w:val="24"/>
        </w:rPr>
        <w:t>”</w:t>
      </w:r>
    </w:p>
    <w:p>
      <w:pPr>
        <w:spacing w:line="360" w:lineRule="auto"/>
        <w:ind w:left="560" w:firstLine="114" w:firstLineChars="50"/>
        <w:rPr>
          <w:rFonts w:ascii="宋体" w:hAnsi="宋体"/>
          <w:bCs/>
          <w:sz w:val="24"/>
        </w:rPr>
      </w:pPr>
      <w:r>
        <w:rPr>
          <w:rFonts w:hint="eastAsia" w:ascii="宋体" w:hAnsi="宋体"/>
          <w:b/>
          <w:spacing w:val="-6"/>
          <w:sz w:val="24"/>
        </w:rPr>
        <w:t>愿景：</w:t>
      </w:r>
      <w:r>
        <w:rPr>
          <w:rFonts w:hint="eastAsia"/>
          <w:b w:val="0"/>
          <w:bCs w:val="0"/>
          <w:kern w:val="0"/>
          <w:sz w:val="24"/>
          <w:szCs w:val="24"/>
        </w:rPr>
        <w:t>“</w:t>
      </w:r>
      <w:r>
        <w:rPr>
          <w:rFonts w:hint="eastAsia" w:ascii="宋体" w:hAnsi="宋体" w:eastAsia="宋体" w:cs="宋体"/>
          <w:color w:val="000000"/>
          <w:kern w:val="0"/>
          <w:sz w:val="21"/>
          <w:szCs w:val="21"/>
          <w:lang w:val="en-US" w:eastAsia="zh-CN" w:bidi="ar"/>
        </w:rPr>
        <w:t>成为耐磨材料铸造行业的领先企业</w:t>
      </w:r>
      <w:r>
        <w:rPr>
          <w:rFonts w:hint="eastAsia"/>
          <w:b w:val="0"/>
          <w:bCs w:val="0"/>
          <w:kern w:val="0"/>
          <w:sz w:val="24"/>
          <w:szCs w:val="24"/>
        </w:rPr>
        <w:t>”</w:t>
      </w:r>
    </w:p>
    <w:p>
      <w:pPr>
        <w:spacing w:line="360" w:lineRule="auto"/>
        <w:ind w:left="560" w:firstLine="120" w:firstLineChars="50"/>
        <w:rPr>
          <w:rFonts w:hint="eastAsia"/>
          <w:b/>
          <w:bCs/>
          <w:kern w:val="0"/>
          <w:sz w:val="24"/>
          <w:szCs w:val="24"/>
          <w:lang w:val="en-US" w:eastAsia="zh-CN"/>
        </w:rPr>
      </w:pPr>
      <w:r>
        <w:rPr>
          <w:rFonts w:hint="eastAsia" w:ascii="宋体" w:hAnsi="宋体"/>
          <w:b/>
          <w:kern w:val="0"/>
          <w:sz w:val="24"/>
        </w:rPr>
        <w:t>核心价值观：</w:t>
      </w:r>
      <w:r>
        <w:rPr>
          <w:rFonts w:hint="eastAsia"/>
          <w:b w:val="0"/>
          <w:bCs w:val="0"/>
          <w:kern w:val="0"/>
          <w:sz w:val="24"/>
          <w:szCs w:val="24"/>
          <w:lang w:val="en-US" w:eastAsia="zh-CN"/>
        </w:rPr>
        <w:t>“</w:t>
      </w:r>
      <w:r>
        <w:rPr>
          <w:rFonts w:hint="eastAsia" w:ascii="宋体" w:hAnsi="宋体" w:eastAsia="宋体" w:cs="宋体"/>
          <w:color w:val="000000"/>
          <w:kern w:val="0"/>
          <w:sz w:val="21"/>
          <w:szCs w:val="21"/>
          <w:lang w:val="en-US" w:eastAsia="zh-CN" w:bidi="ar"/>
        </w:rPr>
        <w:t>共同发展，实现双赢</w:t>
      </w:r>
      <w:r>
        <w:rPr>
          <w:rFonts w:hint="eastAsia"/>
          <w:b w:val="0"/>
          <w:bCs w:val="0"/>
          <w:kern w:val="0"/>
          <w:sz w:val="24"/>
          <w:szCs w:val="24"/>
          <w:lang w:val="en-US" w:eastAsia="zh-CN"/>
        </w:rPr>
        <w:t>”</w:t>
      </w:r>
    </w:p>
    <w:p>
      <w:pPr>
        <w:spacing w:line="360" w:lineRule="auto"/>
        <w:ind w:left="560" w:firstLine="120" w:firstLineChars="50"/>
        <w:rPr>
          <w:rFonts w:hint="eastAsia" w:ascii="华文琥珀" w:eastAsia="华文琥珀"/>
          <w:kern w:val="0"/>
          <w:sz w:val="24"/>
          <w:szCs w:val="24"/>
          <w:lang w:val="en-US" w:eastAsia="zh-CN"/>
        </w:rPr>
      </w:pPr>
      <w:r>
        <w:rPr>
          <w:rFonts w:hint="eastAsia" w:ascii="宋体" w:hAnsi="宋体"/>
          <w:b/>
          <w:kern w:val="0"/>
          <w:sz w:val="24"/>
        </w:rPr>
        <w:t>质量方针：</w:t>
      </w:r>
      <w:r>
        <w:rPr>
          <w:rFonts w:hint="eastAsia" w:ascii="华文琥珀" w:eastAsia="华文琥珀"/>
          <w:kern w:val="0"/>
          <w:sz w:val="24"/>
          <w:szCs w:val="24"/>
          <w:lang w:val="en-US" w:eastAsia="zh-CN"/>
        </w:rPr>
        <w:t>“安全守法，科学管理；优质服务，和谐发展”</w:t>
      </w:r>
    </w:p>
    <w:p>
      <w:pPr>
        <w:spacing w:line="360" w:lineRule="auto"/>
        <w:ind w:left="560" w:firstLine="120" w:firstLineChars="50"/>
        <w:rPr>
          <w:rFonts w:hint="eastAsia" w:ascii="华文琥珀" w:eastAsia="华文琥珀"/>
          <w:kern w:val="0"/>
          <w:sz w:val="24"/>
          <w:szCs w:val="24"/>
          <w:lang w:val="en-US" w:eastAsia="zh-CN"/>
        </w:rPr>
      </w:pPr>
      <w:r>
        <w:rPr>
          <w:rFonts w:hint="eastAsia" w:ascii="宋体" w:hAnsi="宋体" w:eastAsia="Calibri" w:cs="Times New Roman"/>
          <w:b/>
          <w:kern w:val="0"/>
          <w:sz w:val="24"/>
          <w:lang w:val="en-US" w:eastAsia="zh-CN"/>
        </w:rPr>
        <w:t>环境方针：</w:t>
      </w:r>
      <w:r>
        <w:rPr>
          <w:rFonts w:hint="eastAsia" w:ascii="华文琥珀" w:eastAsia="华文琥珀"/>
          <w:kern w:val="0"/>
          <w:sz w:val="24"/>
          <w:szCs w:val="24"/>
          <w:lang w:val="en-US" w:eastAsia="zh-CN"/>
        </w:rPr>
        <w:t>“</w:t>
      </w:r>
      <w:r>
        <w:rPr>
          <w:rFonts w:hint="eastAsia" w:ascii="华文琥珀" w:eastAsia="华文琥珀"/>
          <w:kern w:val="0"/>
          <w:sz w:val="24"/>
          <w:szCs w:val="24"/>
        </w:rPr>
        <w:t>遵守法规、严格标准、预防污染、安全运行</w:t>
      </w:r>
      <w:r>
        <w:rPr>
          <w:rFonts w:hint="eastAsia" w:ascii="华文琥珀" w:eastAsia="华文琥珀"/>
          <w:kern w:val="0"/>
          <w:sz w:val="24"/>
          <w:szCs w:val="24"/>
          <w:lang w:val="en-US" w:eastAsia="zh-CN"/>
        </w:rPr>
        <w:t>”</w:t>
      </w:r>
    </w:p>
    <w:p>
      <w:pPr>
        <w:spacing w:line="360" w:lineRule="auto"/>
        <w:ind w:left="560" w:firstLine="120" w:firstLineChars="50"/>
        <w:rPr>
          <w:rFonts w:hint="eastAsia" w:ascii="华文琥珀" w:eastAsia="华文琥珀"/>
          <w:kern w:val="0"/>
          <w:sz w:val="24"/>
          <w:szCs w:val="24"/>
          <w:lang w:val="en-US" w:eastAsia="zh-CN"/>
        </w:rPr>
      </w:pPr>
      <w:r>
        <w:rPr>
          <w:rFonts w:hint="eastAsia" w:ascii="宋体" w:hAnsi="宋体" w:eastAsia="Calibri" w:cs="Times New Roman"/>
          <w:b/>
          <w:kern w:val="0"/>
          <w:sz w:val="24"/>
          <w:lang w:val="en-US" w:eastAsia="zh-CN"/>
        </w:rPr>
        <w:t>职业健康安全方针：</w:t>
      </w:r>
      <w:r>
        <w:rPr>
          <w:rFonts w:hint="eastAsia" w:ascii="华文琥珀" w:eastAsia="华文琥珀"/>
          <w:kern w:val="0"/>
          <w:sz w:val="24"/>
          <w:szCs w:val="24"/>
          <w:lang w:eastAsia="zh-CN"/>
        </w:rPr>
        <w:t>“</w:t>
      </w:r>
      <w:r>
        <w:rPr>
          <w:rFonts w:hint="eastAsia" w:ascii="华文琥珀" w:eastAsia="华文琥珀"/>
          <w:kern w:val="0"/>
          <w:sz w:val="24"/>
          <w:szCs w:val="24"/>
        </w:rPr>
        <w:t>以人为本、安全第一，预防为主，文明健康</w:t>
      </w:r>
      <w:r>
        <w:rPr>
          <w:rFonts w:hint="eastAsia" w:ascii="华文琥珀" w:eastAsia="华文琥珀"/>
          <w:kern w:val="0"/>
          <w:sz w:val="24"/>
          <w:szCs w:val="24"/>
          <w:lang w:eastAsia="zh-CN"/>
        </w:rPr>
        <w:t>”</w:t>
      </w:r>
    </w:p>
    <w:p>
      <w:pPr>
        <w:spacing w:line="360" w:lineRule="auto"/>
        <w:ind w:firstLine="600" w:firstLineChars="250"/>
        <w:rPr>
          <w:rFonts w:ascii="宋体" w:hAnsi="宋体"/>
          <w:sz w:val="24"/>
        </w:rPr>
      </w:pPr>
      <w:r>
        <w:rPr>
          <w:rFonts w:hint="eastAsia" w:ascii="宋体" w:hAnsi="宋体"/>
          <w:sz w:val="24"/>
        </w:rPr>
        <w:t>公司营造良好的沟通氛围，通过设置总经理信箱、开展合理化建议活动等，广泛听取各层面员工的意见或建议，保持组织内部沟通顺畅；通过展会、洽谈会、研讨会、走访等多种形式，倾听顾客、供方等相关方的意见及建议。公司领导倡导“无障碍沟通”，建立了互动双向沟通机制，多渠道听取员工及其他相关方要求，多种方式实现不同部门、不同职位、不同地区间的有效沟通，如下</w:t>
      </w:r>
      <w:r>
        <w:rPr>
          <w:rFonts w:hint="eastAsia" w:ascii="宋体" w:hAnsi="宋体"/>
          <w:kern w:val="0"/>
          <w:sz w:val="24"/>
        </w:rPr>
        <w:t>图表所示</w:t>
      </w:r>
      <w:r>
        <w:rPr>
          <w:rFonts w:hint="eastAsia" w:ascii="宋体" w:hAnsi="宋体"/>
          <w:sz w:val="24"/>
        </w:rPr>
        <w:t>。</w:t>
      </w:r>
    </w:p>
    <w:tbl>
      <w:tblPr>
        <w:tblStyle w:val="35"/>
        <w:tblW w:w="0" w:type="auto"/>
        <w:tblInd w:w="108" w:type="dxa"/>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Layout w:type="fixed"/>
        <w:tblCellMar>
          <w:top w:w="0" w:type="dxa"/>
          <w:left w:w="108" w:type="dxa"/>
          <w:bottom w:w="0" w:type="dxa"/>
          <w:right w:w="108" w:type="dxa"/>
        </w:tblCellMar>
      </w:tblPr>
      <w:tblGrid>
        <w:gridCol w:w="1200"/>
        <w:gridCol w:w="7020"/>
        <w:gridCol w:w="1200"/>
      </w:tblGrid>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PrEx>
        <w:trPr>
          <w:trHeight w:val="555" w:hRule="atLeast"/>
        </w:trPr>
        <w:tc>
          <w:tcPr>
            <w:tcW w:w="1200" w:type="dxa"/>
            <w:tcBorders>
              <w:tl2br w:val="nil"/>
              <w:tr2bl w:val="nil"/>
            </w:tcBorders>
            <w:shd w:val="clear" w:color="000000" w:fill="auto"/>
            <w:noWrap w:val="0"/>
            <w:vAlign w:val="center"/>
          </w:tcPr>
          <w:p>
            <w:pPr>
              <w:widowControl/>
              <w:jc w:val="center"/>
              <w:rPr>
                <w:rFonts w:ascii="宋体" w:hAnsi="宋体" w:cs="Courier New"/>
                <w:b/>
                <w:color w:val="auto"/>
                <w:kern w:val="0"/>
                <w:szCs w:val="21"/>
              </w:rPr>
            </w:pPr>
            <w:r>
              <w:rPr>
                <w:rFonts w:hint="eastAsia" w:ascii="宋体" w:hAnsi="宋体" w:cs="Courier New"/>
                <w:b/>
                <w:color w:val="auto"/>
                <w:kern w:val="0"/>
                <w:szCs w:val="21"/>
              </w:rPr>
              <w:t>沟通对象</w:t>
            </w:r>
          </w:p>
        </w:tc>
        <w:tc>
          <w:tcPr>
            <w:tcW w:w="7020" w:type="dxa"/>
            <w:tcBorders>
              <w:tl2br w:val="nil"/>
              <w:tr2bl w:val="nil"/>
            </w:tcBorders>
            <w:shd w:val="clear" w:color="000000" w:fill="auto"/>
            <w:noWrap w:val="0"/>
            <w:vAlign w:val="center"/>
          </w:tcPr>
          <w:p>
            <w:pPr>
              <w:widowControl/>
              <w:jc w:val="center"/>
              <w:rPr>
                <w:rFonts w:hint="eastAsia" w:ascii="宋体" w:hAnsi="宋体" w:cs="Courier New"/>
                <w:b/>
                <w:color w:val="auto"/>
                <w:kern w:val="0"/>
                <w:szCs w:val="21"/>
              </w:rPr>
            </w:pPr>
            <w:r>
              <w:rPr>
                <w:rFonts w:hint="eastAsia" w:ascii="宋体" w:hAnsi="宋体" w:cs="Courier New"/>
                <w:b/>
                <w:color w:val="auto"/>
                <w:kern w:val="0"/>
                <w:szCs w:val="21"/>
              </w:rPr>
              <w:t>传播方式渠道</w:t>
            </w:r>
          </w:p>
        </w:tc>
        <w:tc>
          <w:tcPr>
            <w:tcW w:w="1200" w:type="dxa"/>
            <w:tcBorders>
              <w:tl2br w:val="nil"/>
              <w:tr2bl w:val="nil"/>
            </w:tcBorders>
            <w:shd w:val="clear" w:color="000000" w:fill="auto"/>
            <w:noWrap w:val="0"/>
            <w:vAlign w:val="center"/>
          </w:tcPr>
          <w:p>
            <w:pPr>
              <w:widowControl/>
              <w:jc w:val="center"/>
              <w:rPr>
                <w:rFonts w:hint="eastAsia" w:ascii="宋体" w:hAnsi="宋体" w:cs="Courier New"/>
                <w:b/>
                <w:color w:val="auto"/>
                <w:kern w:val="0"/>
                <w:szCs w:val="21"/>
              </w:rPr>
            </w:pPr>
            <w:r>
              <w:rPr>
                <w:rFonts w:hint="eastAsia" w:ascii="宋体" w:hAnsi="宋体" w:cs="Courier New"/>
                <w:b/>
                <w:color w:val="auto"/>
                <w:kern w:val="0"/>
                <w:szCs w:val="21"/>
              </w:rPr>
              <w:t>沟通方式</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trHeight w:val="585" w:hRule="atLeast"/>
        </w:trPr>
        <w:tc>
          <w:tcPr>
            <w:tcW w:w="1200" w:type="dxa"/>
            <w:vMerge w:val="restart"/>
            <w:tcBorders>
              <w:tl2br w:val="nil"/>
              <w:tr2bl w:val="nil"/>
            </w:tcBorders>
            <w:shd w:val="clear" w:color="000000" w:fill="FFFFFF"/>
            <w:noWrap w:val="0"/>
            <w:vAlign w:val="center"/>
          </w:tcPr>
          <w:p>
            <w:pPr>
              <w:widowControl/>
              <w:jc w:val="center"/>
              <w:rPr>
                <w:rFonts w:hint="eastAsia" w:ascii="宋体" w:hAnsi="宋体" w:cs="Courier New"/>
                <w:kern w:val="0"/>
                <w:sz w:val="20"/>
                <w:szCs w:val="20"/>
              </w:rPr>
            </w:pPr>
            <w:r>
              <w:rPr>
                <w:rFonts w:hint="eastAsia" w:ascii="宋体" w:hAnsi="宋体" w:cs="Courier New"/>
                <w:kern w:val="0"/>
                <w:sz w:val="20"/>
                <w:szCs w:val="20"/>
              </w:rPr>
              <w:t>员工</w:t>
            </w:r>
          </w:p>
        </w:tc>
        <w:tc>
          <w:tcPr>
            <w:tcW w:w="7020" w:type="dxa"/>
            <w:tcBorders>
              <w:tl2br w:val="nil"/>
              <w:tr2bl w:val="nil"/>
            </w:tcBorders>
            <w:shd w:val="clear" w:color="000000" w:fill="FFFFFF"/>
            <w:noWrap w:val="0"/>
            <w:vAlign w:val="center"/>
          </w:tcPr>
          <w:p>
            <w:pPr>
              <w:widowControl/>
              <w:rPr>
                <w:rFonts w:hint="eastAsia" w:ascii="宋体" w:hAnsi="宋体" w:cs="Courier New"/>
                <w:kern w:val="0"/>
                <w:sz w:val="20"/>
                <w:szCs w:val="20"/>
              </w:rPr>
            </w:pPr>
            <w:r>
              <w:rPr>
                <w:rFonts w:hint="eastAsia" w:ascii="宋体" w:hAnsi="宋体" w:cs="Courier New"/>
                <w:kern w:val="0"/>
                <w:sz w:val="20"/>
                <w:szCs w:val="20"/>
              </w:rPr>
              <w:t>拓展训练、入职培训、在职培训、专业培训、选拔培训等</w:t>
            </w:r>
          </w:p>
        </w:tc>
        <w:tc>
          <w:tcPr>
            <w:tcW w:w="1200" w:type="dxa"/>
            <w:tcBorders>
              <w:tl2br w:val="nil"/>
              <w:tr2bl w:val="nil"/>
            </w:tcBorders>
            <w:shd w:val="clear" w:color="000000" w:fill="FFFFFF"/>
            <w:noWrap w:val="0"/>
            <w:vAlign w:val="center"/>
          </w:tcPr>
          <w:p>
            <w:pPr>
              <w:widowControl/>
              <w:jc w:val="center"/>
              <w:rPr>
                <w:rFonts w:hint="eastAsia" w:ascii="宋体" w:hAnsi="宋体" w:cs="Courier New"/>
                <w:kern w:val="0"/>
                <w:sz w:val="20"/>
                <w:szCs w:val="20"/>
              </w:rPr>
            </w:pPr>
            <w:r>
              <w:rPr>
                <w:rFonts w:hint="eastAsia" w:ascii="宋体" w:hAnsi="宋体" w:cs="Courier New"/>
                <w:kern w:val="0"/>
                <w:sz w:val="20"/>
                <w:szCs w:val="20"/>
              </w:rPr>
              <w:t>员工参与</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PrEx>
        <w:trPr>
          <w:trHeight w:val="585" w:hRule="atLeast"/>
        </w:trPr>
        <w:tc>
          <w:tcPr>
            <w:tcW w:w="1200" w:type="dxa"/>
            <w:vMerge w:val="continue"/>
            <w:tcBorders>
              <w:tl2br w:val="nil"/>
              <w:tr2bl w:val="nil"/>
            </w:tcBorders>
            <w:shd w:val="clear" w:color="auto" w:fill="auto"/>
            <w:noWrap w:val="0"/>
            <w:vAlign w:val="center"/>
          </w:tcPr>
          <w:p>
            <w:pPr>
              <w:widowControl/>
              <w:jc w:val="left"/>
              <w:rPr>
                <w:rFonts w:ascii="宋体" w:hAnsi="宋体" w:cs="Courier New"/>
                <w:kern w:val="0"/>
                <w:sz w:val="20"/>
                <w:szCs w:val="20"/>
              </w:rPr>
            </w:pPr>
          </w:p>
        </w:tc>
        <w:tc>
          <w:tcPr>
            <w:tcW w:w="7020" w:type="dxa"/>
            <w:tcBorders>
              <w:tl2br w:val="nil"/>
              <w:tr2bl w:val="nil"/>
            </w:tcBorders>
            <w:shd w:val="clear" w:color="000000" w:fill="FFFFFF"/>
            <w:noWrap w:val="0"/>
            <w:vAlign w:val="center"/>
          </w:tcPr>
          <w:p>
            <w:pPr>
              <w:widowControl/>
              <w:rPr>
                <w:rFonts w:hint="eastAsia" w:ascii="宋体" w:hAnsi="宋体" w:cs="Courier New"/>
                <w:kern w:val="0"/>
                <w:sz w:val="20"/>
                <w:szCs w:val="20"/>
              </w:rPr>
            </w:pPr>
            <w:r>
              <w:rPr>
                <w:rFonts w:hint="eastAsia" w:ascii="宋体" w:hAnsi="宋体" w:cs="Courier New"/>
                <w:kern w:val="0"/>
                <w:sz w:val="20"/>
                <w:szCs w:val="20"/>
              </w:rPr>
              <w:t>《员工手册》、官网、微信公众号、文件、文化墙、宣传栏、宣传片等</w:t>
            </w:r>
          </w:p>
        </w:tc>
        <w:tc>
          <w:tcPr>
            <w:tcW w:w="1200" w:type="dxa"/>
            <w:tcBorders>
              <w:tl2br w:val="nil"/>
              <w:tr2bl w:val="nil"/>
            </w:tcBorders>
            <w:shd w:val="clear" w:color="000000" w:fill="FFFFFF"/>
            <w:noWrap w:val="0"/>
            <w:vAlign w:val="center"/>
          </w:tcPr>
          <w:p>
            <w:pPr>
              <w:widowControl/>
              <w:jc w:val="center"/>
              <w:rPr>
                <w:rFonts w:hint="eastAsia" w:ascii="宋体" w:hAnsi="宋体" w:cs="Courier New"/>
                <w:kern w:val="0"/>
                <w:sz w:val="20"/>
                <w:szCs w:val="20"/>
              </w:rPr>
            </w:pPr>
            <w:r>
              <w:rPr>
                <w:rFonts w:hint="eastAsia" w:ascii="宋体" w:hAnsi="宋体" w:cs="Courier New"/>
                <w:kern w:val="0"/>
                <w:sz w:val="20"/>
                <w:szCs w:val="20"/>
              </w:rPr>
              <w:t>潜移默化</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PrEx>
        <w:trPr>
          <w:trHeight w:val="585" w:hRule="atLeast"/>
        </w:trPr>
        <w:tc>
          <w:tcPr>
            <w:tcW w:w="1200" w:type="dxa"/>
            <w:vMerge w:val="continue"/>
            <w:tcBorders>
              <w:tl2br w:val="nil"/>
              <w:tr2bl w:val="nil"/>
            </w:tcBorders>
            <w:shd w:val="clear" w:color="auto" w:fill="auto"/>
            <w:noWrap w:val="0"/>
            <w:vAlign w:val="center"/>
          </w:tcPr>
          <w:p>
            <w:pPr>
              <w:widowControl/>
              <w:jc w:val="left"/>
              <w:rPr>
                <w:rFonts w:ascii="宋体" w:hAnsi="宋体" w:cs="Courier New"/>
                <w:kern w:val="0"/>
                <w:sz w:val="20"/>
                <w:szCs w:val="20"/>
              </w:rPr>
            </w:pPr>
          </w:p>
        </w:tc>
        <w:tc>
          <w:tcPr>
            <w:tcW w:w="7020" w:type="dxa"/>
            <w:tcBorders>
              <w:tl2br w:val="nil"/>
              <w:tr2bl w:val="nil"/>
            </w:tcBorders>
            <w:shd w:val="clear" w:color="000000" w:fill="FFFFFF"/>
            <w:noWrap w:val="0"/>
            <w:vAlign w:val="center"/>
          </w:tcPr>
          <w:p>
            <w:pPr>
              <w:widowControl/>
              <w:rPr>
                <w:rFonts w:hint="eastAsia" w:ascii="宋体" w:hAnsi="宋体" w:cs="Courier New"/>
                <w:kern w:val="0"/>
                <w:sz w:val="20"/>
                <w:szCs w:val="20"/>
              </w:rPr>
            </w:pPr>
            <w:r>
              <w:rPr>
                <w:rFonts w:hint="eastAsia" w:ascii="宋体" w:hAnsi="宋体" w:cs="Courier New"/>
                <w:kern w:val="0"/>
                <w:sz w:val="20"/>
                <w:szCs w:val="20"/>
              </w:rPr>
              <w:t>微信公众号、内线电话、OA系统、电子邮件系统、总经理信箱</w:t>
            </w:r>
          </w:p>
        </w:tc>
        <w:tc>
          <w:tcPr>
            <w:tcW w:w="1200" w:type="dxa"/>
            <w:tcBorders>
              <w:tl2br w:val="nil"/>
              <w:tr2bl w:val="nil"/>
            </w:tcBorders>
            <w:shd w:val="clear" w:color="000000" w:fill="FFFFFF"/>
            <w:noWrap w:val="0"/>
            <w:vAlign w:val="center"/>
          </w:tcPr>
          <w:p>
            <w:pPr>
              <w:widowControl/>
              <w:jc w:val="center"/>
              <w:rPr>
                <w:rFonts w:hint="eastAsia" w:ascii="宋体" w:hAnsi="宋体" w:cs="Courier New"/>
                <w:kern w:val="0"/>
                <w:sz w:val="20"/>
                <w:szCs w:val="20"/>
              </w:rPr>
            </w:pPr>
            <w:r>
              <w:rPr>
                <w:rFonts w:hint="eastAsia" w:ascii="宋体" w:hAnsi="宋体" w:cs="Courier New"/>
                <w:kern w:val="0"/>
                <w:sz w:val="20"/>
                <w:szCs w:val="20"/>
              </w:rPr>
              <w:t>双向沟通</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PrEx>
        <w:trPr>
          <w:trHeight w:val="585" w:hRule="atLeast"/>
        </w:trPr>
        <w:tc>
          <w:tcPr>
            <w:tcW w:w="1200" w:type="dxa"/>
            <w:vMerge w:val="continue"/>
            <w:tcBorders>
              <w:tl2br w:val="nil"/>
              <w:tr2bl w:val="nil"/>
            </w:tcBorders>
            <w:shd w:val="clear" w:color="auto" w:fill="auto"/>
            <w:noWrap w:val="0"/>
            <w:vAlign w:val="center"/>
          </w:tcPr>
          <w:p>
            <w:pPr>
              <w:widowControl/>
              <w:jc w:val="left"/>
              <w:rPr>
                <w:rFonts w:ascii="宋体" w:hAnsi="宋体" w:cs="Courier New"/>
                <w:kern w:val="0"/>
                <w:sz w:val="20"/>
                <w:szCs w:val="20"/>
              </w:rPr>
            </w:pPr>
          </w:p>
        </w:tc>
        <w:tc>
          <w:tcPr>
            <w:tcW w:w="7020" w:type="dxa"/>
            <w:tcBorders>
              <w:tl2br w:val="nil"/>
              <w:tr2bl w:val="nil"/>
            </w:tcBorders>
            <w:shd w:val="clear" w:color="000000" w:fill="FFFFFF"/>
            <w:noWrap w:val="0"/>
            <w:vAlign w:val="center"/>
          </w:tcPr>
          <w:p>
            <w:pPr>
              <w:widowControl/>
              <w:rPr>
                <w:rFonts w:hint="eastAsia" w:ascii="宋体" w:hAnsi="宋体" w:cs="Courier New"/>
                <w:kern w:val="0"/>
                <w:sz w:val="20"/>
                <w:szCs w:val="20"/>
              </w:rPr>
            </w:pPr>
            <w:r>
              <w:rPr>
                <w:rFonts w:hint="eastAsia" w:ascii="宋体" w:hAnsi="宋体" w:cs="Courier New"/>
                <w:kern w:val="0"/>
                <w:sz w:val="20"/>
                <w:szCs w:val="20"/>
              </w:rPr>
              <w:t>读书交流会、迎春文艺汇演、团拜晚宴、劳动综合技能竞赛、安全知识竞赛、中秋联谊活动、运动会、篮球赛、乒乓球赛等各类文体活动</w:t>
            </w:r>
          </w:p>
        </w:tc>
        <w:tc>
          <w:tcPr>
            <w:tcW w:w="1200" w:type="dxa"/>
            <w:tcBorders>
              <w:tl2br w:val="nil"/>
              <w:tr2bl w:val="nil"/>
            </w:tcBorders>
            <w:shd w:val="clear" w:color="000000" w:fill="FFFFFF"/>
            <w:noWrap w:val="0"/>
            <w:vAlign w:val="center"/>
          </w:tcPr>
          <w:p>
            <w:pPr>
              <w:widowControl/>
              <w:jc w:val="center"/>
              <w:rPr>
                <w:rFonts w:hint="eastAsia" w:ascii="宋体" w:hAnsi="宋体" w:cs="Courier New"/>
                <w:kern w:val="0"/>
                <w:sz w:val="20"/>
                <w:szCs w:val="20"/>
              </w:rPr>
            </w:pPr>
            <w:r>
              <w:rPr>
                <w:rFonts w:hint="eastAsia" w:ascii="宋体" w:hAnsi="宋体" w:cs="Courier New"/>
                <w:kern w:val="0"/>
                <w:sz w:val="20"/>
                <w:szCs w:val="20"/>
              </w:rPr>
              <w:t>员工参与</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PrEx>
        <w:trPr>
          <w:trHeight w:val="585" w:hRule="atLeast"/>
        </w:trPr>
        <w:tc>
          <w:tcPr>
            <w:tcW w:w="1200" w:type="dxa"/>
            <w:vMerge w:val="continue"/>
            <w:tcBorders>
              <w:tl2br w:val="nil"/>
              <w:tr2bl w:val="nil"/>
            </w:tcBorders>
            <w:shd w:val="clear" w:color="auto" w:fill="auto"/>
            <w:noWrap w:val="0"/>
            <w:vAlign w:val="center"/>
          </w:tcPr>
          <w:p>
            <w:pPr>
              <w:widowControl/>
              <w:jc w:val="left"/>
              <w:rPr>
                <w:rFonts w:ascii="宋体" w:hAnsi="宋体" w:cs="Courier New"/>
                <w:kern w:val="0"/>
                <w:sz w:val="20"/>
                <w:szCs w:val="20"/>
              </w:rPr>
            </w:pPr>
          </w:p>
        </w:tc>
        <w:tc>
          <w:tcPr>
            <w:tcW w:w="7020" w:type="dxa"/>
            <w:tcBorders>
              <w:tl2br w:val="nil"/>
              <w:tr2bl w:val="nil"/>
            </w:tcBorders>
            <w:shd w:val="clear" w:color="000000" w:fill="FFFFFF"/>
            <w:noWrap w:val="0"/>
            <w:vAlign w:val="center"/>
          </w:tcPr>
          <w:p>
            <w:pPr>
              <w:widowControl/>
              <w:rPr>
                <w:rFonts w:hint="eastAsia" w:ascii="宋体" w:hAnsi="宋体" w:cs="Courier New"/>
                <w:kern w:val="0"/>
                <w:sz w:val="20"/>
                <w:szCs w:val="20"/>
              </w:rPr>
            </w:pPr>
            <w:r>
              <w:rPr>
                <w:rFonts w:hint="eastAsia" w:ascii="宋体" w:hAnsi="宋体" w:cs="Courier New"/>
                <w:kern w:val="0"/>
                <w:sz w:val="20"/>
                <w:szCs w:val="20"/>
              </w:rPr>
              <w:t>优秀员工、合理化建议奖、年终总结大会及先进表彰大会等</w:t>
            </w:r>
          </w:p>
        </w:tc>
        <w:tc>
          <w:tcPr>
            <w:tcW w:w="1200" w:type="dxa"/>
            <w:tcBorders>
              <w:tl2br w:val="nil"/>
              <w:tr2bl w:val="nil"/>
            </w:tcBorders>
            <w:shd w:val="clear" w:color="000000" w:fill="FFFFFF"/>
            <w:noWrap w:val="0"/>
            <w:vAlign w:val="center"/>
          </w:tcPr>
          <w:p>
            <w:pPr>
              <w:widowControl/>
              <w:jc w:val="center"/>
              <w:rPr>
                <w:rFonts w:hint="eastAsia" w:ascii="宋体" w:hAnsi="宋体" w:cs="Courier New"/>
                <w:kern w:val="0"/>
                <w:sz w:val="20"/>
                <w:szCs w:val="20"/>
              </w:rPr>
            </w:pPr>
            <w:r>
              <w:rPr>
                <w:rFonts w:hint="eastAsia" w:ascii="宋体" w:hAnsi="宋体" w:cs="Courier New"/>
                <w:kern w:val="0"/>
                <w:sz w:val="20"/>
                <w:szCs w:val="20"/>
              </w:rPr>
              <w:t>榜样激励</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PrEx>
        <w:trPr>
          <w:trHeight w:val="585" w:hRule="atLeast"/>
        </w:trPr>
        <w:tc>
          <w:tcPr>
            <w:tcW w:w="1200" w:type="dxa"/>
            <w:vMerge w:val="continue"/>
            <w:tcBorders>
              <w:tl2br w:val="nil"/>
              <w:tr2bl w:val="nil"/>
            </w:tcBorders>
            <w:shd w:val="clear" w:color="auto" w:fill="auto"/>
            <w:noWrap w:val="0"/>
            <w:vAlign w:val="center"/>
          </w:tcPr>
          <w:p>
            <w:pPr>
              <w:widowControl/>
              <w:jc w:val="left"/>
              <w:rPr>
                <w:rFonts w:ascii="宋体" w:hAnsi="宋体" w:cs="Courier New"/>
                <w:kern w:val="0"/>
                <w:sz w:val="20"/>
                <w:szCs w:val="20"/>
              </w:rPr>
            </w:pPr>
          </w:p>
        </w:tc>
        <w:tc>
          <w:tcPr>
            <w:tcW w:w="7020" w:type="dxa"/>
            <w:tcBorders>
              <w:tl2br w:val="nil"/>
              <w:tr2bl w:val="nil"/>
            </w:tcBorders>
            <w:shd w:val="clear" w:color="000000" w:fill="FFFFFF"/>
            <w:noWrap w:val="0"/>
            <w:vAlign w:val="center"/>
          </w:tcPr>
          <w:p>
            <w:pPr>
              <w:widowControl/>
              <w:rPr>
                <w:rFonts w:hint="eastAsia" w:ascii="宋体" w:hAnsi="宋体" w:cs="Courier New"/>
                <w:kern w:val="0"/>
                <w:sz w:val="20"/>
                <w:szCs w:val="20"/>
              </w:rPr>
            </w:pPr>
            <w:r>
              <w:rPr>
                <w:rFonts w:hint="eastAsia" w:ascii="宋体" w:hAnsi="宋体" w:cs="Courier New"/>
                <w:kern w:val="0"/>
                <w:sz w:val="20"/>
                <w:szCs w:val="20"/>
              </w:rPr>
              <w:t>职工代表大会、员工座谈会、先进事迹座谈会、早会、月度例会、专题研讨会、年度总结表彰大会、员工满意度调查、党支部会议、团委年会</w:t>
            </w:r>
          </w:p>
        </w:tc>
        <w:tc>
          <w:tcPr>
            <w:tcW w:w="1200" w:type="dxa"/>
            <w:tcBorders>
              <w:tl2br w:val="nil"/>
              <w:tr2bl w:val="nil"/>
            </w:tcBorders>
            <w:shd w:val="clear" w:color="000000" w:fill="FFFFFF"/>
            <w:noWrap w:val="0"/>
            <w:vAlign w:val="center"/>
          </w:tcPr>
          <w:p>
            <w:pPr>
              <w:widowControl/>
              <w:jc w:val="center"/>
              <w:rPr>
                <w:rFonts w:hint="eastAsia" w:ascii="宋体" w:hAnsi="宋体" w:cs="Courier New"/>
                <w:kern w:val="0"/>
                <w:sz w:val="20"/>
                <w:szCs w:val="20"/>
              </w:rPr>
            </w:pPr>
            <w:r>
              <w:rPr>
                <w:rFonts w:hint="eastAsia" w:ascii="宋体" w:hAnsi="宋体" w:cs="Courier New"/>
                <w:kern w:val="0"/>
                <w:sz w:val="20"/>
                <w:szCs w:val="20"/>
              </w:rPr>
              <w:t>交流座谈</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PrEx>
        <w:trPr>
          <w:trHeight w:val="585" w:hRule="atLeast"/>
        </w:trPr>
        <w:tc>
          <w:tcPr>
            <w:tcW w:w="1200" w:type="dxa"/>
            <w:vMerge w:val="restart"/>
            <w:tcBorders>
              <w:tl2br w:val="nil"/>
              <w:tr2bl w:val="nil"/>
            </w:tcBorders>
            <w:shd w:val="clear" w:color="000000" w:fill="FFFFFF"/>
            <w:noWrap w:val="0"/>
            <w:vAlign w:val="center"/>
          </w:tcPr>
          <w:p>
            <w:pPr>
              <w:widowControl/>
              <w:jc w:val="center"/>
              <w:rPr>
                <w:rFonts w:hint="eastAsia" w:ascii="宋体" w:hAnsi="宋体" w:cs="Courier New"/>
                <w:kern w:val="0"/>
                <w:sz w:val="20"/>
                <w:szCs w:val="20"/>
              </w:rPr>
            </w:pPr>
            <w:r>
              <w:rPr>
                <w:rFonts w:hint="eastAsia" w:ascii="宋体" w:hAnsi="宋体" w:cs="Courier New"/>
                <w:kern w:val="0"/>
                <w:sz w:val="20"/>
                <w:szCs w:val="20"/>
              </w:rPr>
              <w:t>顾客</w:t>
            </w:r>
          </w:p>
        </w:tc>
        <w:tc>
          <w:tcPr>
            <w:tcW w:w="7020" w:type="dxa"/>
            <w:tcBorders>
              <w:tl2br w:val="nil"/>
              <w:tr2bl w:val="nil"/>
            </w:tcBorders>
            <w:shd w:val="clear" w:color="000000" w:fill="FFFFFF"/>
            <w:noWrap w:val="0"/>
            <w:vAlign w:val="center"/>
          </w:tcPr>
          <w:p>
            <w:pPr>
              <w:widowControl/>
              <w:rPr>
                <w:rFonts w:hint="eastAsia" w:ascii="宋体" w:hAnsi="宋体" w:cs="Courier New"/>
                <w:kern w:val="0"/>
                <w:sz w:val="20"/>
                <w:szCs w:val="20"/>
              </w:rPr>
            </w:pPr>
            <w:r>
              <w:rPr>
                <w:rFonts w:hint="eastAsia" w:ascii="宋体" w:hAnsi="宋体" w:cs="Courier New"/>
                <w:kern w:val="0"/>
                <w:sz w:val="20"/>
                <w:szCs w:val="20"/>
              </w:rPr>
              <w:t>公司官方网站、企业宣传册、产品手册、广告片、展览会、传真、电子邮件</w:t>
            </w:r>
          </w:p>
        </w:tc>
        <w:tc>
          <w:tcPr>
            <w:tcW w:w="1200" w:type="dxa"/>
            <w:tcBorders>
              <w:tl2br w:val="nil"/>
              <w:tr2bl w:val="nil"/>
            </w:tcBorders>
            <w:shd w:val="clear" w:color="000000" w:fill="FFFFFF"/>
            <w:noWrap w:val="0"/>
            <w:vAlign w:val="center"/>
          </w:tcPr>
          <w:p>
            <w:pPr>
              <w:widowControl/>
              <w:jc w:val="center"/>
              <w:rPr>
                <w:rFonts w:hint="eastAsia" w:ascii="宋体" w:hAnsi="宋体" w:cs="Courier New"/>
                <w:kern w:val="0"/>
                <w:sz w:val="20"/>
                <w:szCs w:val="20"/>
              </w:rPr>
            </w:pPr>
            <w:r>
              <w:rPr>
                <w:rFonts w:hint="eastAsia" w:ascii="宋体" w:hAnsi="宋体" w:cs="Courier New"/>
                <w:kern w:val="0"/>
                <w:sz w:val="20"/>
                <w:szCs w:val="20"/>
              </w:rPr>
              <w:t>传播、反馈</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PrEx>
        <w:trPr>
          <w:trHeight w:val="585" w:hRule="atLeast"/>
        </w:trPr>
        <w:tc>
          <w:tcPr>
            <w:tcW w:w="1200" w:type="dxa"/>
            <w:vMerge w:val="continue"/>
            <w:tcBorders>
              <w:tl2br w:val="nil"/>
              <w:tr2bl w:val="nil"/>
            </w:tcBorders>
            <w:shd w:val="clear" w:color="auto" w:fill="auto"/>
            <w:noWrap w:val="0"/>
            <w:vAlign w:val="center"/>
          </w:tcPr>
          <w:p>
            <w:pPr>
              <w:widowControl/>
              <w:jc w:val="left"/>
              <w:rPr>
                <w:rFonts w:ascii="宋体" w:hAnsi="宋体" w:cs="Courier New"/>
                <w:kern w:val="0"/>
                <w:sz w:val="20"/>
                <w:szCs w:val="20"/>
              </w:rPr>
            </w:pPr>
          </w:p>
        </w:tc>
        <w:tc>
          <w:tcPr>
            <w:tcW w:w="7020" w:type="dxa"/>
            <w:tcBorders>
              <w:tl2br w:val="nil"/>
              <w:tr2bl w:val="nil"/>
            </w:tcBorders>
            <w:shd w:val="clear" w:color="000000" w:fill="FFFFFF"/>
            <w:noWrap w:val="0"/>
            <w:vAlign w:val="center"/>
          </w:tcPr>
          <w:p>
            <w:pPr>
              <w:widowControl/>
              <w:rPr>
                <w:rFonts w:hint="eastAsia" w:ascii="宋体" w:hAnsi="宋体" w:cs="Courier New"/>
                <w:kern w:val="0"/>
                <w:sz w:val="20"/>
                <w:szCs w:val="20"/>
              </w:rPr>
            </w:pPr>
            <w:r>
              <w:rPr>
                <w:rFonts w:hint="eastAsia" w:ascii="宋体" w:hAnsi="宋体" w:cs="Courier New"/>
                <w:kern w:val="0"/>
                <w:sz w:val="20"/>
                <w:szCs w:val="20"/>
              </w:rPr>
              <w:t>高层互访、供应商联合体会议、参加客户的供应商年会、专题交流会议、信息化系统</w:t>
            </w:r>
          </w:p>
        </w:tc>
        <w:tc>
          <w:tcPr>
            <w:tcW w:w="1200" w:type="dxa"/>
            <w:tcBorders>
              <w:tl2br w:val="nil"/>
              <w:tr2bl w:val="nil"/>
            </w:tcBorders>
            <w:shd w:val="clear" w:color="000000" w:fill="FFFFFF"/>
            <w:noWrap w:val="0"/>
            <w:vAlign w:val="center"/>
          </w:tcPr>
          <w:p>
            <w:pPr>
              <w:widowControl/>
              <w:jc w:val="center"/>
              <w:rPr>
                <w:rFonts w:hint="eastAsia" w:ascii="宋体" w:hAnsi="宋体" w:cs="Courier New"/>
                <w:kern w:val="0"/>
                <w:sz w:val="20"/>
                <w:szCs w:val="20"/>
              </w:rPr>
            </w:pPr>
            <w:r>
              <w:rPr>
                <w:rFonts w:hint="eastAsia" w:ascii="宋体" w:hAnsi="宋体" w:cs="Courier New"/>
                <w:kern w:val="0"/>
                <w:sz w:val="20"/>
                <w:szCs w:val="20"/>
              </w:rPr>
              <w:t>双向沟通</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trHeight w:val="585" w:hRule="atLeast"/>
        </w:trPr>
        <w:tc>
          <w:tcPr>
            <w:tcW w:w="1200" w:type="dxa"/>
            <w:tcBorders>
              <w:tl2br w:val="nil"/>
              <w:tr2bl w:val="nil"/>
            </w:tcBorders>
            <w:shd w:val="clear" w:color="000000" w:fill="FFFFFF"/>
            <w:noWrap w:val="0"/>
            <w:vAlign w:val="center"/>
          </w:tcPr>
          <w:p>
            <w:pPr>
              <w:widowControl/>
              <w:jc w:val="center"/>
              <w:rPr>
                <w:rFonts w:hint="eastAsia" w:ascii="宋体" w:hAnsi="宋体" w:cs="Courier New"/>
                <w:kern w:val="0"/>
                <w:sz w:val="20"/>
                <w:szCs w:val="20"/>
              </w:rPr>
            </w:pPr>
            <w:r>
              <w:rPr>
                <w:rFonts w:hint="eastAsia" w:ascii="宋体" w:hAnsi="宋体" w:cs="Courier New"/>
                <w:kern w:val="0"/>
                <w:sz w:val="20"/>
                <w:szCs w:val="20"/>
              </w:rPr>
              <w:t>股东</w:t>
            </w:r>
          </w:p>
        </w:tc>
        <w:tc>
          <w:tcPr>
            <w:tcW w:w="7020" w:type="dxa"/>
            <w:tcBorders>
              <w:tl2br w:val="nil"/>
              <w:tr2bl w:val="nil"/>
            </w:tcBorders>
            <w:shd w:val="clear" w:color="000000" w:fill="FFFFFF"/>
            <w:noWrap w:val="0"/>
            <w:vAlign w:val="center"/>
          </w:tcPr>
          <w:p>
            <w:pPr>
              <w:widowControl/>
              <w:rPr>
                <w:rFonts w:hint="eastAsia" w:ascii="宋体" w:hAnsi="宋体" w:cs="Courier New"/>
                <w:kern w:val="0"/>
                <w:sz w:val="20"/>
                <w:szCs w:val="20"/>
              </w:rPr>
            </w:pPr>
            <w:r>
              <w:rPr>
                <w:rFonts w:hint="eastAsia" w:ascii="宋体" w:hAnsi="宋体" w:cs="Courier New"/>
                <w:kern w:val="0"/>
                <w:sz w:val="20"/>
                <w:szCs w:val="20"/>
              </w:rPr>
              <w:t>股东大会、个别沟通、新闻媒体、网站、报刊、投资者关系专线</w:t>
            </w:r>
          </w:p>
        </w:tc>
        <w:tc>
          <w:tcPr>
            <w:tcW w:w="1200" w:type="dxa"/>
            <w:tcBorders>
              <w:tl2br w:val="nil"/>
              <w:tr2bl w:val="nil"/>
            </w:tcBorders>
            <w:shd w:val="clear" w:color="000000" w:fill="FFFFFF"/>
            <w:noWrap w:val="0"/>
            <w:vAlign w:val="center"/>
          </w:tcPr>
          <w:p>
            <w:pPr>
              <w:widowControl/>
              <w:jc w:val="center"/>
              <w:rPr>
                <w:rFonts w:hint="eastAsia" w:ascii="宋体" w:hAnsi="宋体" w:cs="Courier New"/>
                <w:kern w:val="0"/>
                <w:sz w:val="20"/>
                <w:szCs w:val="20"/>
              </w:rPr>
            </w:pPr>
            <w:r>
              <w:rPr>
                <w:rFonts w:hint="eastAsia" w:ascii="宋体" w:hAnsi="宋体" w:cs="Courier New"/>
                <w:kern w:val="0"/>
                <w:sz w:val="20"/>
                <w:szCs w:val="20"/>
              </w:rPr>
              <w:t>双向沟通</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trHeight w:val="585" w:hRule="atLeast"/>
        </w:trPr>
        <w:tc>
          <w:tcPr>
            <w:tcW w:w="1200" w:type="dxa"/>
            <w:tcBorders>
              <w:tl2br w:val="nil"/>
              <w:tr2bl w:val="nil"/>
            </w:tcBorders>
            <w:shd w:val="clear" w:color="000000" w:fill="FFFFFF"/>
            <w:noWrap w:val="0"/>
            <w:vAlign w:val="center"/>
          </w:tcPr>
          <w:p>
            <w:pPr>
              <w:widowControl/>
              <w:jc w:val="center"/>
              <w:rPr>
                <w:rFonts w:hint="eastAsia" w:ascii="宋体" w:hAnsi="宋体" w:cs="Courier New"/>
                <w:kern w:val="0"/>
                <w:sz w:val="20"/>
                <w:szCs w:val="20"/>
              </w:rPr>
            </w:pPr>
            <w:r>
              <w:rPr>
                <w:rFonts w:hint="eastAsia" w:ascii="宋体" w:hAnsi="宋体" w:cs="Courier New"/>
                <w:kern w:val="0"/>
                <w:sz w:val="20"/>
                <w:szCs w:val="20"/>
              </w:rPr>
              <w:t>供应商</w:t>
            </w:r>
          </w:p>
        </w:tc>
        <w:tc>
          <w:tcPr>
            <w:tcW w:w="7020" w:type="dxa"/>
            <w:tcBorders>
              <w:tl2br w:val="nil"/>
              <w:tr2bl w:val="nil"/>
            </w:tcBorders>
            <w:shd w:val="clear" w:color="000000" w:fill="FFFFFF"/>
            <w:noWrap w:val="0"/>
            <w:vAlign w:val="center"/>
          </w:tcPr>
          <w:p>
            <w:pPr>
              <w:widowControl/>
              <w:rPr>
                <w:rFonts w:hint="eastAsia" w:ascii="宋体" w:hAnsi="宋体" w:cs="Courier New"/>
                <w:kern w:val="0"/>
                <w:sz w:val="20"/>
                <w:szCs w:val="20"/>
              </w:rPr>
            </w:pPr>
            <w:r>
              <w:rPr>
                <w:rFonts w:hint="eastAsia" w:ascii="宋体" w:hAnsi="宋体" w:cs="Courier New"/>
                <w:kern w:val="0"/>
                <w:sz w:val="20"/>
                <w:szCs w:val="20"/>
              </w:rPr>
              <w:t>年度供应商大会、供应商座谈会、优秀供应商评选、供应商满意度调查、采购展会、实地考察、电话沟通、电子邮件、合同协议</w:t>
            </w:r>
          </w:p>
        </w:tc>
        <w:tc>
          <w:tcPr>
            <w:tcW w:w="1200" w:type="dxa"/>
            <w:tcBorders>
              <w:tl2br w:val="nil"/>
              <w:tr2bl w:val="nil"/>
            </w:tcBorders>
            <w:shd w:val="clear" w:color="000000" w:fill="FFFFFF"/>
            <w:noWrap w:val="0"/>
            <w:vAlign w:val="center"/>
          </w:tcPr>
          <w:p>
            <w:pPr>
              <w:widowControl/>
              <w:jc w:val="center"/>
              <w:rPr>
                <w:rFonts w:hint="eastAsia" w:ascii="宋体" w:hAnsi="宋体" w:cs="Courier New"/>
                <w:kern w:val="0"/>
                <w:sz w:val="20"/>
                <w:szCs w:val="20"/>
              </w:rPr>
            </w:pPr>
            <w:r>
              <w:rPr>
                <w:rFonts w:hint="eastAsia" w:ascii="宋体" w:hAnsi="宋体" w:cs="Courier New"/>
                <w:kern w:val="0"/>
                <w:sz w:val="20"/>
                <w:szCs w:val="20"/>
              </w:rPr>
              <w:t>双向沟通</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trHeight w:val="585" w:hRule="atLeast"/>
        </w:trPr>
        <w:tc>
          <w:tcPr>
            <w:tcW w:w="1200" w:type="dxa"/>
            <w:tcBorders>
              <w:tl2br w:val="nil"/>
              <w:tr2bl w:val="nil"/>
            </w:tcBorders>
            <w:shd w:val="clear" w:color="000000" w:fill="FFFFFF"/>
            <w:noWrap w:val="0"/>
            <w:vAlign w:val="center"/>
          </w:tcPr>
          <w:p>
            <w:pPr>
              <w:widowControl/>
              <w:jc w:val="center"/>
              <w:rPr>
                <w:rFonts w:hint="eastAsia" w:ascii="宋体" w:hAnsi="宋体" w:cs="Courier New"/>
                <w:kern w:val="0"/>
                <w:sz w:val="20"/>
                <w:szCs w:val="20"/>
              </w:rPr>
            </w:pPr>
            <w:r>
              <w:rPr>
                <w:rFonts w:hint="eastAsia" w:ascii="宋体" w:hAnsi="宋体" w:cs="Courier New"/>
                <w:kern w:val="0"/>
                <w:sz w:val="20"/>
                <w:szCs w:val="20"/>
              </w:rPr>
              <w:t>政府</w:t>
            </w:r>
          </w:p>
        </w:tc>
        <w:tc>
          <w:tcPr>
            <w:tcW w:w="7020" w:type="dxa"/>
            <w:vMerge w:val="restart"/>
            <w:tcBorders>
              <w:tl2br w:val="nil"/>
              <w:tr2bl w:val="nil"/>
            </w:tcBorders>
            <w:shd w:val="clear" w:color="000000" w:fill="FFFFFF"/>
            <w:noWrap w:val="0"/>
            <w:vAlign w:val="center"/>
          </w:tcPr>
          <w:p>
            <w:pPr>
              <w:widowControl/>
              <w:rPr>
                <w:rFonts w:hint="eastAsia" w:ascii="宋体" w:hAnsi="宋体" w:cs="Courier New"/>
                <w:kern w:val="0"/>
                <w:sz w:val="20"/>
                <w:szCs w:val="20"/>
              </w:rPr>
            </w:pPr>
            <w:r>
              <w:rPr>
                <w:rFonts w:hint="eastAsia" w:ascii="宋体" w:hAnsi="宋体" w:cs="Courier New"/>
                <w:kern w:val="0"/>
                <w:sz w:val="20"/>
                <w:szCs w:val="20"/>
              </w:rPr>
              <w:t>工作汇报、参观指导、公益活动、慈善捐赠、结对扶贫、企业网站、重大事项公告、企业刊物、宣传册、宣传</w:t>
            </w:r>
          </w:p>
        </w:tc>
        <w:tc>
          <w:tcPr>
            <w:tcW w:w="1200" w:type="dxa"/>
            <w:tcBorders>
              <w:tl2br w:val="nil"/>
              <w:tr2bl w:val="nil"/>
            </w:tcBorders>
            <w:shd w:val="clear" w:color="000000" w:fill="FFFFFF"/>
            <w:noWrap w:val="0"/>
            <w:vAlign w:val="center"/>
          </w:tcPr>
          <w:p>
            <w:pPr>
              <w:widowControl/>
              <w:jc w:val="center"/>
              <w:rPr>
                <w:rFonts w:hint="eastAsia" w:ascii="宋体" w:hAnsi="宋体" w:cs="Courier New"/>
                <w:kern w:val="0"/>
                <w:sz w:val="20"/>
                <w:szCs w:val="20"/>
              </w:rPr>
            </w:pPr>
            <w:r>
              <w:rPr>
                <w:rFonts w:hint="eastAsia" w:ascii="宋体" w:hAnsi="宋体" w:cs="Courier New"/>
                <w:kern w:val="0"/>
                <w:sz w:val="20"/>
                <w:szCs w:val="20"/>
              </w:rPr>
              <w:t>传播为主</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PrEx>
        <w:trPr>
          <w:trHeight w:val="585" w:hRule="atLeast"/>
        </w:trPr>
        <w:tc>
          <w:tcPr>
            <w:tcW w:w="1200" w:type="dxa"/>
            <w:tcBorders>
              <w:tl2br w:val="nil"/>
              <w:tr2bl w:val="nil"/>
            </w:tcBorders>
            <w:shd w:val="clear" w:color="000000" w:fill="FFFFFF"/>
            <w:noWrap w:val="0"/>
            <w:vAlign w:val="center"/>
          </w:tcPr>
          <w:p>
            <w:pPr>
              <w:widowControl/>
              <w:jc w:val="center"/>
              <w:rPr>
                <w:rFonts w:hint="eastAsia" w:ascii="宋体" w:hAnsi="宋体" w:cs="Courier New"/>
                <w:kern w:val="0"/>
                <w:sz w:val="20"/>
                <w:szCs w:val="20"/>
              </w:rPr>
            </w:pPr>
            <w:r>
              <w:rPr>
                <w:rFonts w:hint="eastAsia" w:ascii="宋体" w:hAnsi="宋体" w:cs="Courier New"/>
                <w:kern w:val="0"/>
                <w:sz w:val="20"/>
                <w:szCs w:val="20"/>
              </w:rPr>
              <w:t>公众</w:t>
            </w:r>
          </w:p>
        </w:tc>
        <w:tc>
          <w:tcPr>
            <w:tcW w:w="7020" w:type="dxa"/>
            <w:vMerge w:val="continue"/>
            <w:tcBorders>
              <w:tl2br w:val="nil"/>
              <w:tr2bl w:val="nil"/>
            </w:tcBorders>
            <w:shd w:val="clear" w:color="auto" w:fill="auto"/>
            <w:noWrap w:val="0"/>
            <w:vAlign w:val="center"/>
          </w:tcPr>
          <w:p>
            <w:pPr>
              <w:widowControl/>
              <w:jc w:val="left"/>
              <w:rPr>
                <w:rFonts w:ascii="宋体" w:hAnsi="宋体" w:cs="Courier New"/>
                <w:kern w:val="0"/>
                <w:sz w:val="20"/>
                <w:szCs w:val="20"/>
              </w:rPr>
            </w:pPr>
          </w:p>
        </w:tc>
        <w:tc>
          <w:tcPr>
            <w:tcW w:w="1200" w:type="dxa"/>
            <w:tcBorders>
              <w:tl2br w:val="nil"/>
              <w:tr2bl w:val="nil"/>
            </w:tcBorders>
            <w:shd w:val="clear" w:color="000000" w:fill="FFFFFF"/>
            <w:noWrap w:val="0"/>
            <w:vAlign w:val="center"/>
          </w:tcPr>
          <w:p>
            <w:pPr>
              <w:widowControl/>
              <w:jc w:val="center"/>
              <w:rPr>
                <w:rFonts w:hint="eastAsia" w:ascii="宋体" w:hAnsi="宋体" w:cs="Courier New"/>
                <w:kern w:val="0"/>
                <w:sz w:val="20"/>
                <w:szCs w:val="20"/>
              </w:rPr>
            </w:pPr>
            <w:r>
              <w:rPr>
                <w:rFonts w:hint="eastAsia" w:ascii="宋体" w:hAnsi="宋体" w:cs="Courier New"/>
                <w:kern w:val="0"/>
                <w:sz w:val="20"/>
                <w:szCs w:val="20"/>
              </w:rPr>
              <w:t>注重反馈</w:t>
            </w:r>
          </w:p>
        </w:tc>
      </w:tr>
    </w:tbl>
    <w:p>
      <w:pPr>
        <w:spacing w:line="360" w:lineRule="auto"/>
        <w:jc w:val="center"/>
        <w:rPr>
          <w:rFonts w:hint="eastAsia" w:ascii="宋体" w:hAnsi="宋体"/>
          <w:b/>
          <w:szCs w:val="21"/>
          <w:lang/>
        </w:rPr>
      </w:pPr>
      <w:r>
        <w:rPr>
          <w:rFonts w:hint="eastAsia" w:ascii="宋体" w:hAnsi="宋体" w:eastAsia="宋体"/>
          <w:b/>
          <w:szCs w:val="21"/>
          <w:lang w:val="en-US" w:eastAsia="zh-CN"/>
        </w:rPr>
        <w:t>公司</w:t>
      </w:r>
      <w:r>
        <w:rPr>
          <w:rFonts w:hint="eastAsia" w:ascii="宋体" w:hAnsi="宋体"/>
          <w:b/>
          <w:szCs w:val="21"/>
        </w:rPr>
        <w:t>各类文化</w:t>
      </w:r>
      <w:r>
        <w:rPr>
          <w:rFonts w:hint="eastAsia" w:ascii="宋体" w:hAnsi="宋体" w:eastAsia="宋体"/>
          <w:b/>
          <w:szCs w:val="21"/>
          <w:lang w:eastAsia="zh-CN"/>
        </w:rPr>
        <w:t>、</w:t>
      </w:r>
      <w:r>
        <w:rPr>
          <w:rFonts w:hint="eastAsia" w:ascii="宋体" w:hAnsi="宋体" w:eastAsia="宋体"/>
          <w:b/>
          <w:szCs w:val="21"/>
          <w:lang w:val="en-US" w:eastAsia="zh-CN"/>
        </w:rPr>
        <w:t>技能</w:t>
      </w:r>
      <w:r>
        <w:rPr>
          <w:rFonts w:hint="eastAsia" w:ascii="宋体" w:hAnsi="宋体"/>
          <w:b/>
          <w:szCs w:val="21"/>
        </w:rPr>
        <w:t>活动</w:t>
      </w:r>
    </w:p>
    <w:p>
      <w:pPr>
        <w:spacing w:line="360" w:lineRule="auto"/>
        <w:jc w:val="left"/>
        <w:rPr>
          <w:rFonts w:ascii="宋体" w:hAnsi="宋体" w:cs="宋体"/>
          <w:sz w:val="24"/>
          <w:szCs w:val="24"/>
        </w:rPr>
      </w:pPr>
      <w:r>
        <w:rPr>
          <w:rFonts w:hint="eastAsia" w:ascii="宋体" w:hAnsi="宋体"/>
          <w:lang w:val="en-US" w:eastAsia="zh-CN"/>
        </w:rPr>
        <w:t xml:space="preserve"> </w:t>
      </w:r>
      <w:r>
        <w:rPr>
          <w:rFonts w:ascii="宋体" w:hAnsi="宋体" w:cs="宋体"/>
          <w:sz w:val="24"/>
          <w:szCs w:val="24"/>
        </w:rPr>
        <w:drawing>
          <wp:inline distT="0" distB="0" distL="114300" distR="114300">
            <wp:extent cx="2919095" cy="1633220"/>
            <wp:effectExtent l="0" t="0" r="14605" b="5080"/>
            <wp:docPr id="2" name="图片 20" descr="&amp;pfm122&amp;"/>
            <wp:cNvGraphicFramePr/>
            <a:graphic xmlns:a="http://schemas.openxmlformats.org/drawingml/2006/main">
              <a:graphicData uri="http://schemas.openxmlformats.org/drawingml/2006/picture">
                <pic:pic xmlns:pic="http://schemas.openxmlformats.org/drawingml/2006/picture">
                  <pic:nvPicPr>
                    <pic:cNvPr id="2" name="图片 20" descr="&amp;pfm122&amp;"/>
                    <pic:cNvPicPr/>
                  </pic:nvPicPr>
                  <pic:blipFill>
                    <a:blip r:embed="rId6"/>
                    <a:stretch>
                      <a:fillRect/>
                    </a:stretch>
                  </pic:blipFill>
                  <pic:spPr>
                    <a:xfrm>
                      <a:off x="0" y="0"/>
                      <a:ext cx="2919095" cy="1633220"/>
                    </a:xfrm>
                    <a:prstGeom prst="rect">
                      <a:avLst/>
                    </a:prstGeom>
                    <a:noFill/>
                    <a:ln>
                      <a:noFill/>
                    </a:ln>
                  </pic:spPr>
                </pic:pic>
              </a:graphicData>
            </a:graphic>
          </wp:inline>
        </w:drawing>
      </w:r>
      <w:r>
        <w:rPr>
          <w:rFonts w:ascii="宋体" w:hAnsi="宋体" w:cs="宋体"/>
          <w:sz w:val="24"/>
          <w:szCs w:val="24"/>
        </w:rPr>
        <w:drawing>
          <wp:inline distT="0" distB="0" distL="114300" distR="114300">
            <wp:extent cx="2753360" cy="1659890"/>
            <wp:effectExtent l="0" t="0" r="8890" b="16510"/>
            <wp:docPr id="3" name="图片 24" descr="&amp;pfm122&amp;"/>
            <wp:cNvGraphicFramePr/>
            <a:graphic xmlns:a="http://schemas.openxmlformats.org/drawingml/2006/main">
              <a:graphicData uri="http://schemas.openxmlformats.org/drawingml/2006/picture">
                <pic:pic xmlns:pic="http://schemas.openxmlformats.org/drawingml/2006/picture">
                  <pic:nvPicPr>
                    <pic:cNvPr id="3" name="图片 24" descr="&amp;pfm122&amp;"/>
                    <pic:cNvPicPr/>
                  </pic:nvPicPr>
                  <pic:blipFill>
                    <a:blip r:embed="rId7"/>
                    <a:stretch>
                      <a:fillRect/>
                    </a:stretch>
                  </pic:blipFill>
                  <pic:spPr>
                    <a:xfrm>
                      <a:off x="0" y="0"/>
                      <a:ext cx="2753360" cy="1659890"/>
                    </a:xfrm>
                    <a:prstGeom prst="rect">
                      <a:avLst/>
                    </a:prstGeom>
                    <a:noFill/>
                    <a:ln>
                      <a:noFill/>
                    </a:ln>
                  </pic:spPr>
                </pic:pic>
              </a:graphicData>
            </a:graphic>
          </wp:inline>
        </w:drawing>
      </w:r>
    </w:p>
    <w:p>
      <w:pPr>
        <w:spacing w:line="360" w:lineRule="auto"/>
        <w:jc w:val="left"/>
        <w:rPr>
          <w:rFonts w:ascii="宋体" w:hAnsi="宋体" w:cs="宋体"/>
          <w:sz w:val="24"/>
          <w:szCs w:val="24"/>
          <w:lang w:eastAsia="zh-CN"/>
        </w:rPr>
      </w:pPr>
      <w:r>
        <w:rPr>
          <w:rFonts w:ascii="宋体" w:hAnsi="宋体" w:cs="宋体"/>
          <w:sz w:val="24"/>
          <w:szCs w:val="24"/>
        </w:rPr>
        <w:drawing>
          <wp:inline distT="0" distB="0" distL="114300" distR="114300">
            <wp:extent cx="2981325" cy="1560830"/>
            <wp:effectExtent l="0" t="0" r="9525" b="1270"/>
            <wp:docPr id="4" name="图片 22" descr="&amp;pfm122&amp;"/>
            <wp:cNvGraphicFramePr/>
            <a:graphic xmlns:a="http://schemas.openxmlformats.org/drawingml/2006/main">
              <a:graphicData uri="http://schemas.openxmlformats.org/drawingml/2006/picture">
                <pic:pic xmlns:pic="http://schemas.openxmlformats.org/drawingml/2006/picture">
                  <pic:nvPicPr>
                    <pic:cNvPr id="4" name="图片 22" descr="&amp;pfm122&amp;"/>
                    <pic:cNvPicPr/>
                  </pic:nvPicPr>
                  <pic:blipFill>
                    <a:blip r:embed="rId8"/>
                    <a:stretch>
                      <a:fillRect/>
                    </a:stretch>
                  </pic:blipFill>
                  <pic:spPr>
                    <a:xfrm>
                      <a:off x="0" y="0"/>
                      <a:ext cx="2981325" cy="1560830"/>
                    </a:xfrm>
                    <a:prstGeom prst="rect">
                      <a:avLst/>
                    </a:prstGeom>
                    <a:noFill/>
                    <a:ln>
                      <a:noFill/>
                    </a:ln>
                  </pic:spPr>
                </pic:pic>
              </a:graphicData>
            </a:graphic>
          </wp:inline>
        </w:drawing>
      </w:r>
      <w:r>
        <w:rPr>
          <w:rFonts w:ascii="宋体" w:hAnsi="宋体" w:cs="宋体"/>
          <w:sz w:val="24"/>
          <w:szCs w:val="24"/>
        </w:rPr>
        <w:drawing>
          <wp:inline distT="0" distB="0" distL="114300" distR="114300">
            <wp:extent cx="2750820" cy="1665605"/>
            <wp:effectExtent l="0" t="0" r="11430" b="10795"/>
            <wp:docPr id="1" name="图片 25" descr="&amp;pfm122&amp;"/>
            <wp:cNvGraphicFramePr/>
            <a:graphic xmlns:a="http://schemas.openxmlformats.org/drawingml/2006/main">
              <a:graphicData uri="http://schemas.openxmlformats.org/drawingml/2006/picture">
                <pic:pic xmlns:pic="http://schemas.openxmlformats.org/drawingml/2006/picture">
                  <pic:nvPicPr>
                    <pic:cNvPr id="1" name="图片 25" descr="&amp;pfm122&amp;"/>
                    <pic:cNvPicPr>
                      <a:picLocks noRot="1"/>
                    </pic:cNvPicPr>
                  </pic:nvPicPr>
                  <pic:blipFill>
                    <a:blip r:embed="rId9"/>
                    <a:stretch>
                      <a:fillRect/>
                    </a:stretch>
                  </pic:blipFill>
                  <pic:spPr>
                    <a:xfrm>
                      <a:off x="0" y="0"/>
                      <a:ext cx="2750820" cy="1665605"/>
                    </a:xfrm>
                    <a:prstGeom prst="rect">
                      <a:avLst/>
                    </a:prstGeom>
                    <a:noFill/>
                    <a:ln>
                      <a:noFill/>
                    </a:ln>
                  </pic:spPr>
                </pic:pic>
              </a:graphicData>
            </a:graphic>
          </wp:inline>
        </w:drawing>
      </w:r>
    </w:p>
    <w:p>
      <w:pPr>
        <w:spacing w:line="360" w:lineRule="auto"/>
        <w:jc w:val="left"/>
        <w:rPr>
          <w:rFonts w:hint="eastAsia" w:ascii="黑体" w:hAnsi="黑体" w:eastAsia="黑体"/>
          <w:b/>
          <w:sz w:val="28"/>
          <w:szCs w:val="21"/>
        </w:rPr>
      </w:pPr>
      <w:r>
        <w:rPr>
          <w:rFonts w:hint="eastAsia" w:ascii="宋体" w:hAnsi="宋体"/>
          <w:lang w:val="en-US" w:eastAsia="zh-CN"/>
        </w:rPr>
        <w:t xml:space="preserve"> </w:t>
      </w:r>
      <w:r>
        <w:rPr>
          <w:rFonts w:hint="eastAsia" w:ascii="黑体" w:hAnsi="黑体" w:eastAsia="黑体"/>
          <w:b/>
          <w:sz w:val="28"/>
          <w:szCs w:val="21"/>
        </w:rPr>
        <w:t>二、追求高质量产品和服务的社会责任</w:t>
      </w:r>
    </w:p>
    <w:p>
      <w:pPr>
        <w:spacing w:line="360" w:lineRule="auto"/>
        <w:ind w:firstLine="553"/>
        <w:rPr>
          <w:rFonts w:hint="eastAsia" w:ascii="宋体" w:hAnsi="宋体"/>
          <w:sz w:val="24"/>
        </w:rPr>
      </w:pPr>
      <w:r>
        <w:rPr>
          <w:rFonts w:hint="eastAsia" w:ascii="宋体" w:hAnsi="宋体"/>
          <w:sz w:val="24"/>
        </w:rPr>
        <w:t>公司认为，企业最大的社会责任，是为顾客提供高质量的产品和服务，这个信念始终贯穿企业经营的始终。近年来，质量越来越引起社会和公众的关注，在政府的发展规划中也越来越频繁地提出相关要求，如国务院＂关于开展质量提升行动的指导意见＂等。在外部环境发生深刻变化的背景下，公司持续推进质量提升行动，加强过程质量管控，推进供应商质量管理、完善客户投诉与服务体系建设，通过创新的科技和完善的服务，为顾客创造价值，是企业的首要社会责任。</w:t>
      </w:r>
    </w:p>
    <w:p>
      <w:pPr>
        <w:spacing w:line="360" w:lineRule="auto"/>
        <w:ind w:firstLine="553"/>
        <w:rPr>
          <w:rFonts w:hint="eastAsia" w:ascii="宋体" w:hAnsi="宋体"/>
          <w:sz w:val="24"/>
        </w:rPr>
      </w:pPr>
      <w:r>
        <w:rPr>
          <w:rFonts w:hint="eastAsia" w:ascii="宋体" w:hAnsi="宋体"/>
          <w:sz w:val="24"/>
        </w:rPr>
        <w:t>公司先后通过了ISO9001质量管理体系、ISO14001：2015环境管理体系和“ISO</w:t>
      </w:r>
      <w:r>
        <w:rPr>
          <w:rFonts w:hint="eastAsia" w:ascii="宋体" w:hAnsi="宋体" w:eastAsia="宋体"/>
          <w:sz w:val="24"/>
          <w:lang w:val="en-US" w:eastAsia="zh-CN"/>
        </w:rPr>
        <w:t>45</w:t>
      </w:r>
      <w:r>
        <w:rPr>
          <w:rFonts w:hint="eastAsia" w:ascii="宋体" w:hAnsi="宋体"/>
          <w:sz w:val="24"/>
        </w:rPr>
        <w:t>001：201</w:t>
      </w:r>
      <w:r>
        <w:rPr>
          <w:rFonts w:hint="eastAsia" w:ascii="宋体" w:hAnsi="宋体" w:eastAsia="宋体"/>
          <w:sz w:val="24"/>
          <w:lang w:val="en-US" w:eastAsia="zh-CN"/>
        </w:rPr>
        <w:t>8</w:t>
      </w:r>
      <w:r>
        <w:rPr>
          <w:rFonts w:hint="eastAsia" w:ascii="宋体" w:hAnsi="宋体"/>
          <w:sz w:val="24"/>
        </w:rPr>
        <w:t>”认证。20</w:t>
      </w:r>
      <w:r>
        <w:rPr>
          <w:rFonts w:hint="eastAsia" w:ascii="宋体" w:hAnsi="宋体" w:eastAsia="宋体"/>
          <w:sz w:val="24"/>
          <w:lang w:val="en-US" w:eastAsia="zh-CN"/>
        </w:rPr>
        <w:t>20</w:t>
      </w:r>
      <w:r>
        <w:rPr>
          <w:rFonts w:hint="eastAsia" w:ascii="宋体" w:hAnsi="宋体"/>
          <w:sz w:val="24"/>
        </w:rPr>
        <w:t>年成功导入卓越绩效模式，并积极参加市政府质量奖评选。管理体系和标准的持续完善，确保了体系运行的的全面性、持续性和有效性，为产品质量水平的稳定与提升奠定了良好的基础。</w:t>
      </w:r>
    </w:p>
    <w:p>
      <w:pPr>
        <w:pStyle w:val="12"/>
        <w:adjustRightInd w:val="0"/>
        <w:spacing w:after="0" w:line="360" w:lineRule="auto"/>
        <w:ind w:left="0" w:leftChars="0" w:firstLine="480" w:firstLineChars="200"/>
        <w:rPr>
          <w:rFonts w:ascii="宋体" w:hAnsi="宋体"/>
          <w:sz w:val="24"/>
        </w:rPr>
      </w:pPr>
      <w:r>
        <w:rPr>
          <w:rFonts w:hint="eastAsia" w:ascii="宋体" w:hAnsi="宋体"/>
          <w:sz w:val="24"/>
        </w:rPr>
        <w:t>为履行</w:t>
      </w:r>
      <w:r>
        <w:rPr>
          <w:rFonts w:hint="eastAsia" w:ascii="宋体" w:hAnsi="宋体"/>
          <w:sz w:val="24"/>
          <w:lang w:val="en-US" w:eastAsia="zh-CN"/>
        </w:rPr>
        <w:t>产品质量安全职责，</w:t>
      </w:r>
      <w:r>
        <w:rPr>
          <w:rFonts w:hint="eastAsia" w:ascii="宋体" w:hAnsi="宋体"/>
          <w:sz w:val="24"/>
        </w:rPr>
        <w:t>确保组织所提供产品和服务的质量安全，</w:t>
      </w:r>
      <w:r>
        <w:rPr>
          <w:rFonts w:ascii="宋体" w:hAnsi="宋体"/>
          <w:sz w:val="24"/>
        </w:rPr>
        <w:t>公司高度重视质量管理体系的建设，在对产品质量进行严格把关，并满足各项标准指标的同时，建立了完善的质量管理体系。</w:t>
      </w:r>
    </w:p>
    <w:p>
      <w:pPr>
        <w:pStyle w:val="12"/>
        <w:adjustRightInd w:val="0"/>
        <w:spacing w:after="0" w:line="360" w:lineRule="auto"/>
        <w:ind w:left="0" w:leftChars="0" w:firstLine="480" w:firstLineChars="200"/>
        <w:rPr>
          <w:rFonts w:ascii="宋体" w:hAnsi="宋体"/>
          <w:sz w:val="24"/>
        </w:rPr>
      </w:pPr>
      <w:r>
        <w:rPr>
          <w:rFonts w:ascii="宋体" w:hAnsi="宋体"/>
          <w:sz w:val="24"/>
        </w:rPr>
        <w:t>目前公司已制定了</w:t>
      </w:r>
      <w:r>
        <w:rPr>
          <w:rFonts w:hint="eastAsia" w:ascii="宋体" w:hAnsi="宋体"/>
          <w:sz w:val="24"/>
        </w:rPr>
        <w:t>一系列</w:t>
      </w:r>
      <w:r>
        <w:rPr>
          <w:rFonts w:ascii="宋体" w:hAnsi="宋体"/>
          <w:sz w:val="24"/>
        </w:rPr>
        <w:t>的质量控制措施，涵盖了从产品设计、原材料采购、产品制造、产品检验、性能测试、包装储运到客户服务等全过程等各个环节，对各部门的质量控制工作进行有效的指导和监督；同时，公司以满足客户要求作为标准，由各专门部门负责，认真抓好产品质量的持续改进工作。</w:t>
      </w:r>
    </w:p>
    <w:p>
      <w:pPr>
        <w:spacing w:line="360" w:lineRule="auto"/>
        <w:ind w:firstLine="553"/>
        <w:rPr>
          <w:rFonts w:ascii="黑体" w:hAnsi="黑体" w:eastAsia="黑体"/>
          <w:b/>
          <w:sz w:val="28"/>
          <w:szCs w:val="21"/>
        </w:rPr>
      </w:pPr>
      <w:r>
        <w:rPr>
          <w:rFonts w:ascii="黑体" w:hAnsi="黑体" w:eastAsia="黑体"/>
          <w:b/>
          <w:sz w:val="28"/>
          <w:szCs w:val="21"/>
        </w:rPr>
        <w:t>三、遵守</w:t>
      </w:r>
      <w:r>
        <w:rPr>
          <w:rFonts w:hint="eastAsia" w:ascii="黑体" w:hAnsi="黑体" w:eastAsia="黑体"/>
          <w:b/>
          <w:sz w:val="28"/>
          <w:szCs w:val="21"/>
        </w:rPr>
        <w:t>国家法律法规的</w:t>
      </w:r>
      <w:r>
        <w:rPr>
          <w:rFonts w:ascii="黑体" w:hAnsi="黑体" w:eastAsia="黑体"/>
          <w:b/>
          <w:sz w:val="28"/>
          <w:szCs w:val="21"/>
        </w:rPr>
        <w:t>社会责任</w:t>
      </w:r>
    </w:p>
    <w:p>
      <w:pPr>
        <w:autoSpaceDE w:val="0"/>
        <w:autoSpaceDN w:val="0"/>
        <w:adjustRightInd w:val="0"/>
        <w:spacing w:line="360" w:lineRule="auto"/>
        <w:ind w:firstLine="482"/>
        <w:rPr>
          <w:rFonts w:hint="eastAsia" w:ascii="宋体" w:hAnsi="宋体"/>
          <w:sz w:val="24"/>
        </w:rPr>
      </w:pPr>
      <w:r>
        <w:rPr>
          <w:rFonts w:hint="eastAsia" w:ascii="宋体" w:hAnsi="宋体"/>
          <w:sz w:val="24"/>
        </w:rPr>
        <w:t>公司的产品、服务和运营主要涉及质量安全、环境保护、能源节约、资源综合利用、安全生产、公共卫生等方面的影响。公司严格按照《环境保护法》、《大气污染防治法》、《水污染防治法》、《安全生产法》等国家法律法规，制订了《突发环境事件应急预案》、《环境卫生管理考核办法》、、《客诉管理办法》、《新、改、扩建设项目控制程序》等制度。</w:t>
      </w:r>
      <w:r>
        <w:rPr>
          <w:rFonts w:ascii="宋体" w:hAnsi="宋体"/>
          <w:sz w:val="24"/>
        </w:rPr>
        <w:t>公司的废水、废气、噪声均达到国家和地方规定的排放标准；公司工业固废均进行了处理、处置，危险废物处置率达100%；公司污染治理设施落实专人操作管理，环保设施稳定运行率达95%以上；公司排放的污染物达到国家规定的标准，排放总量在控制范围内</w:t>
      </w:r>
      <w:r>
        <w:rPr>
          <w:rFonts w:hint="eastAsia" w:ascii="宋体" w:hAnsi="宋体"/>
          <w:sz w:val="24"/>
        </w:rPr>
        <w:t>。</w:t>
      </w:r>
    </w:p>
    <w:p>
      <w:pPr>
        <w:pStyle w:val="113"/>
        <w:spacing w:before="93" w:after="62" w:line="360" w:lineRule="auto"/>
        <w:rPr>
          <w:rFonts w:hint="eastAsia" w:ascii="宋体" w:hAnsi="宋体"/>
          <w:szCs w:val="21"/>
        </w:rPr>
      </w:pPr>
      <w:r>
        <w:rPr>
          <w:rFonts w:ascii="宋体" w:hAnsi="宋体"/>
          <w:szCs w:val="21"/>
        </w:rPr>
        <w:t>公司公共责任结果</w:t>
      </w:r>
    </w:p>
    <w:tbl>
      <w:tblPr>
        <w:tblStyle w:val="35"/>
        <w:tblW w:w="9551" w:type="dxa"/>
        <w:jc w:val="center"/>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Layout w:type="fixed"/>
        <w:tblCellMar>
          <w:top w:w="0" w:type="dxa"/>
          <w:left w:w="108" w:type="dxa"/>
          <w:bottom w:w="0" w:type="dxa"/>
          <w:right w:w="108" w:type="dxa"/>
        </w:tblCellMar>
      </w:tblPr>
      <w:tblGrid>
        <w:gridCol w:w="709"/>
        <w:gridCol w:w="992"/>
        <w:gridCol w:w="1239"/>
        <w:gridCol w:w="1455"/>
        <w:gridCol w:w="1940"/>
        <w:gridCol w:w="1022"/>
        <w:gridCol w:w="2194"/>
      </w:tblGrid>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wBefore w:w="0" w:type="dxa"/>
          <w:wAfter w:w="0" w:type="dxa"/>
          <w:trHeight w:val="312" w:hRule="atLeast"/>
          <w:tblHeader/>
          <w:jc w:val="center"/>
        </w:trPr>
        <w:tc>
          <w:tcPr>
            <w:tcW w:w="709" w:type="dxa"/>
            <w:tcBorders>
              <w:tl2br w:val="nil"/>
              <w:tr2bl w:val="nil"/>
            </w:tcBorders>
            <w:noWrap w:val="0"/>
            <w:vAlign w:val="center"/>
          </w:tcPr>
          <w:p>
            <w:pPr>
              <w:spacing w:line="360" w:lineRule="auto"/>
              <w:jc w:val="center"/>
              <w:rPr>
                <w:rFonts w:hint="eastAsia" w:ascii="宋体" w:hAnsi="宋体" w:eastAsia="宋体" w:cs="宋体"/>
                <w:b/>
                <w:bCs/>
                <w:sz w:val="18"/>
                <w:szCs w:val="18"/>
              </w:rPr>
            </w:pPr>
            <w:r>
              <w:rPr>
                <w:rFonts w:hint="eastAsia" w:ascii="宋体" w:hAnsi="宋体" w:eastAsia="宋体" w:cs="宋体"/>
                <w:b/>
                <w:bCs/>
                <w:sz w:val="18"/>
                <w:szCs w:val="18"/>
              </w:rPr>
              <w:t>控制</w:t>
            </w:r>
          </w:p>
          <w:p>
            <w:pPr>
              <w:spacing w:line="360" w:lineRule="auto"/>
              <w:jc w:val="center"/>
              <w:rPr>
                <w:rFonts w:hint="eastAsia" w:ascii="宋体" w:hAnsi="宋体" w:eastAsia="宋体" w:cs="宋体"/>
                <w:b/>
                <w:bCs/>
                <w:sz w:val="18"/>
                <w:szCs w:val="18"/>
              </w:rPr>
            </w:pPr>
            <w:r>
              <w:rPr>
                <w:rFonts w:hint="eastAsia" w:ascii="宋体" w:hAnsi="宋体" w:eastAsia="宋体" w:cs="宋体"/>
                <w:b/>
                <w:bCs/>
                <w:sz w:val="18"/>
                <w:szCs w:val="18"/>
              </w:rPr>
              <w:t>方面</w:t>
            </w:r>
          </w:p>
        </w:tc>
        <w:tc>
          <w:tcPr>
            <w:tcW w:w="992" w:type="dxa"/>
            <w:tcBorders>
              <w:tl2br w:val="nil"/>
              <w:tr2bl w:val="nil"/>
            </w:tcBorders>
            <w:noWrap w:val="0"/>
            <w:vAlign w:val="center"/>
          </w:tcPr>
          <w:p>
            <w:pPr>
              <w:spacing w:line="360" w:lineRule="auto"/>
              <w:jc w:val="center"/>
              <w:rPr>
                <w:rFonts w:hint="eastAsia" w:ascii="宋体" w:hAnsi="宋体" w:eastAsia="宋体" w:cs="宋体"/>
                <w:b/>
                <w:bCs/>
                <w:sz w:val="18"/>
                <w:szCs w:val="18"/>
              </w:rPr>
            </w:pPr>
            <w:r>
              <w:rPr>
                <w:rFonts w:hint="eastAsia" w:ascii="宋体" w:hAnsi="宋体" w:eastAsia="宋体" w:cs="宋体"/>
                <w:b/>
                <w:bCs/>
                <w:sz w:val="18"/>
                <w:szCs w:val="18"/>
              </w:rPr>
              <w:t>控制项目</w:t>
            </w:r>
          </w:p>
        </w:tc>
        <w:tc>
          <w:tcPr>
            <w:tcW w:w="1239" w:type="dxa"/>
            <w:tcBorders>
              <w:tl2br w:val="nil"/>
              <w:tr2bl w:val="nil"/>
            </w:tcBorders>
            <w:noWrap w:val="0"/>
            <w:vAlign w:val="center"/>
          </w:tcPr>
          <w:p>
            <w:pPr>
              <w:spacing w:line="360" w:lineRule="auto"/>
              <w:jc w:val="center"/>
              <w:rPr>
                <w:rFonts w:hint="eastAsia" w:ascii="宋体" w:hAnsi="宋体" w:eastAsia="宋体" w:cs="宋体"/>
                <w:b/>
                <w:bCs/>
                <w:sz w:val="18"/>
                <w:szCs w:val="18"/>
              </w:rPr>
            </w:pPr>
            <w:r>
              <w:rPr>
                <w:rFonts w:hint="eastAsia" w:ascii="宋体" w:hAnsi="宋体" w:eastAsia="宋体" w:cs="宋体"/>
                <w:b/>
                <w:bCs/>
                <w:sz w:val="18"/>
                <w:szCs w:val="18"/>
              </w:rPr>
              <w:t>风险</w:t>
            </w:r>
          </w:p>
          <w:p>
            <w:pPr>
              <w:spacing w:line="360" w:lineRule="auto"/>
              <w:jc w:val="center"/>
              <w:rPr>
                <w:rFonts w:hint="eastAsia" w:ascii="宋体" w:hAnsi="宋体" w:eastAsia="宋体" w:cs="宋体"/>
                <w:b/>
                <w:bCs/>
                <w:sz w:val="18"/>
                <w:szCs w:val="18"/>
              </w:rPr>
            </w:pPr>
            <w:r>
              <w:rPr>
                <w:rFonts w:hint="eastAsia" w:ascii="宋体" w:hAnsi="宋体" w:eastAsia="宋体" w:cs="宋体"/>
                <w:b/>
                <w:bCs/>
                <w:sz w:val="18"/>
                <w:szCs w:val="18"/>
              </w:rPr>
              <w:t>因素</w:t>
            </w:r>
          </w:p>
        </w:tc>
        <w:tc>
          <w:tcPr>
            <w:tcW w:w="1455" w:type="dxa"/>
            <w:tcBorders>
              <w:tl2br w:val="nil"/>
              <w:tr2bl w:val="nil"/>
            </w:tcBorders>
            <w:noWrap w:val="0"/>
            <w:vAlign w:val="center"/>
          </w:tcPr>
          <w:p>
            <w:pPr>
              <w:spacing w:line="360" w:lineRule="auto"/>
              <w:jc w:val="center"/>
              <w:rPr>
                <w:rFonts w:hint="eastAsia" w:ascii="宋体" w:hAnsi="宋体" w:eastAsia="宋体" w:cs="宋体"/>
                <w:b/>
                <w:bCs/>
                <w:sz w:val="18"/>
                <w:szCs w:val="18"/>
              </w:rPr>
            </w:pPr>
            <w:r>
              <w:rPr>
                <w:rFonts w:hint="eastAsia" w:ascii="宋体" w:hAnsi="宋体" w:eastAsia="宋体" w:cs="宋体"/>
                <w:b/>
                <w:bCs/>
                <w:sz w:val="18"/>
                <w:szCs w:val="18"/>
              </w:rPr>
              <w:t>国家行业标准</w:t>
            </w:r>
          </w:p>
        </w:tc>
        <w:tc>
          <w:tcPr>
            <w:tcW w:w="1940" w:type="dxa"/>
            <w:tcBorders>
              <w:tl2br w:val="nil"/>
              <w:tr2bl w:val="nil"/>
            </w:tcBorders>
            <w:noWrap w:val="0"/>
            <w:vAlign w:val="center"/>
          </w:tcPr>
          <w:p>
            <w:pPr>
              <w:spacing w:line="360" w:lineRule="auto"/>
              <w:jc w:val="center"/>
              <w:rPr>
                <w:rFonts w:hint="eastAsia" w:ascii="宋体" w:hAnsi="宋体" w:eastAsia="宋体" w:cs="宋体"/>
                <w:b/>
                <w:bCs/>
                <w:sz w:val="18"/>
                <w:szCs w:val="18"/>
              </w:rPr>
            </w:pPr>
            <w:r>
              <w:rPr>
                <w:rFonts w:hint="eastAsia" w:ascii="宋体" w:hAnsi="宋体" w:eastAsia="宋体" w:cs="宋体"/>
                <w:b/>
                <w:bCs/>
                <w:sz w:val="18"/>
                <w:szCs w:val="18"/>
              </w:rPr>
              <w:t>控制指标</w:t>
            </w:r>
          </w:p>
        </w:tc>
        <w:tc>
          <w:tcPr>
            <w:tcW w:w="1022" w:type="dxa"/>
            <w:tcBorders>
              <w:tl2br w:val="nil"/>
              <w:tr2bl w:val="nil"/>
            </w:tcBorders>
            <w:noWrap w:val="0"/>
            <w:vAlign w:val="center"/>
          </w:tcPr>
          <w:p>
            <w:pPr>
              <w:spacing w:line="360" w:lineRule="auto"/>
              <w:jc w:val="center"/>
              <w:rPr>
                <w:rFonts w:hint="eastAsia" w:ascii="宋体" w:hAnsi="宋体" w:eastAsia="宋体" w:cs="宋体"/>
                <w:b/>
                <w:bCs/>
                <w:sz w:val="18"/>
                <w:szCs w:val="18"/>
              </w:rPr>
            </w:pPr>
            <w:r>
              <w:rPr>
                <w:rFonts w:hint="eastAsia" w:ascii="宋体" w:hAnsi="宋体" w:eastAsia="宋体" w:cs="宋体"/>
                <w:b/>
                <w:bCs/>
                <w:sz w:val="18"/>
                <w:szCs w:val="18"/>
              </w:rPr>
              <w:t>测量</w:t>
            </w:r>
          </w:p>
          <w:p>
            <w:pPr>
              <w:spacing w:line="360" w:lineRule="auto"/>
              <w:jc w:val="center"/>
              <w:rPr>
                <w:rFonts w:hint="eastAsia" w:ascii="宋体" w:hAnsi="宋体" w:eastAsia="宋体" w:cs="宋体"/>
                <w:b/>
                <w:bCs/>
                <w:sz w:val="18"/>
                <w:szCs w:val="18"/>
              </w:rPr>
            </w:pPr>
            <w:r>
              <w:rPr>
                <w:rFonts w:hint="eastAsia" w:ascii="宋体" w:hAnsi="宋体" w:eastAsia="宋体" w:cs="宋体"/>
                <w:b/>
                <w:bCs/>
                <w:sz w:val="18"/>
                <w:szCs w:val="18"/>
              </w:rPr>
              <w:t>方法</w:t>
            </w:r>
          </w:p>
        </w:tc>
        <w:tc>
          <w:tcPr>
            <w:tcW w:w="2194" w:type="dxa"/>
            <w:tcBorders>
              <w:tl2br w:val="nil"/>
              <w:tr2bl w:val="nil"/>
            </w:tcBorders>
            <w:noWrap w:val="0"/>
            <w:vAlign w:val="center"/>
          </w:tcPr>
          <w:p>
            <w:pPr>
              <w:spacing w:line="360" w:lineRule="auto"/>
              <w:jc w:val="center"/>
              <w:rPr>
                <w:rFonts w:hint="eastAsia" w:ascii="宋体" w:hAnsi="宋体" w:eastAsia="宋体" w:cs="宋体"/>
                <w:b/>
                <w:bCs/>
                <w:sz w:val="18"/>
                <w:szCs w:val="18"/>
              </w:rPr>
            </w:pPr>
            <w:r>
              <w:rPr>
                <w:rFonts w:hint="eastAsia" w:ascii="宋体" w:hAnsi="宋体" w:eastAsia="宋体" w:cs="宋体"/>
                <w:b/>
                <w:bCs/>
                <w:sz w:val="18"/>
                <w:szCs w:val="18"/>
              </w:rPr>
              <w:t>控制过程及方法</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wBefore w:w="0" w:type="dxa"/>
          <w:wAfter w:w="0" w:type="dxa"/>
          <w:trHeight w:val="312" w:hRule="atLeast"/>
          <w:jc w:val="center"/>
        </w:trPr>
        <w:tc>
          <w:tcPr>
            <w:tcW w:w="709" w:type="dxa"/>
            <w:tcBorders>
              <w:tl2br w:val="nil"/>
              <w:tr2bl w:val="nil"/>
            </w:tcBorders>
            <w:shd w:val="clear" w:color="auto" w:fill="FFFFFF"/>
            <w:noWrap w:val="0"/>
            <w:vAlign w:val="center"/>
          </w:tcPr>
          <w:p>
            <w:pPr>
              <w:snapToGrid w:val="0"/>
              <w:spacing w:line="360" w:lineRule="auto"/>
              <w:jc w:val="center"/>
              <w:rPr>
                <w:rFonts w:hint="eastAsia" w:ascii="宋体" w:hAnsi="宋体" w:eastAsia="宋体" w:cs="宋体"/>
                <w:sz w:val="18"/>
                <w:szCs w:val="18"/>
              </w:rPr>
            </w:pPr>
            <w:r>
              <w:rPr>
                <w:rFonts w:hint="eastAsia" w:ascii="宋体" w:hAnsi="宋体" w:eastAsia="宋体" w:cs="宋体"/>
                <w:sz w:val="18"/>
                <w:szCs w:val="18"/>
              </w:rPr>
              <w:t>环境</w:t>
            </w:r>
          </w:p>
          <w:p>
            <w:pPr>
              <w:snapToGrid w:val="0"/>
              <w:spacing w:line="360" w:lineRule="auto"/>
              <w:jc w:val="center"/>
              <w:rPr>
                <w:rFonts w:hint="eastAsia" w:ascii="宋体" w:hAnsi="宋体" w:eastAsia="宋体" w:cs="宋体"/>
                <w:sz w:val="18"/>
                <w:szCs w:val="18"/>
              </w:rPr>
            </w:pPr>
            <w:r>
              <w:rPr>
                <w:rFonts w:hint="eastAsia" w:ascii="宋体" w:hAnsi="宋体" w:eastAsia="宋体" w:cs="宋体"/>
                <w:sz w:val="18"/>
                <w:szCs w:val="18"/>
              </w:rPr>
              <w:t>保护</w:t>
            </w:r>
          </w:p>
        </w:tc>
        <w:tc>
          <w:tcPr>
            <w:tcW w:w="992" w:type="dxa"/>
            <w:tcBorders>
              <w:tl2br w:val="nil"/>
              <w:tr2bl w:val="nil"/>
            </w:tcBorders>
            <w:shd w:val="clear" w:color="auto" w:fill="FFFFFF"/>
            <w:noWrap w:val="0"/>
            <w:vAlign w:val="center"/>
          </w:tcPr>
          <w:p>
            <w:pPr>
              <w:snapToGrid w:val="0"/>
              <w:spacing w:line="360" w:lineRule="auto"/>
              <w:jc w:val="left"/>
              <w:rPr>
                <w:rFonts w:hint="eastAsia" w:ascii="宋体" w:hAnsi="宋体" w:eastAsia="宋体" w:cs="宋体"/>
                <w:sz w:val="18"/>
                <w:szCs w:val="18"/>
              </w:rPr>
            </w:pPr>
            <w:r>
              <w:rPr>
                <w:rFonts w:hint="eastAsia" w:ascii="宋体" w:hAnsi="宋体" w:eastAsia="宋体" w:cs="宋体"/>
                <w:sz w:val="18"/>
                <w:szCs w:val="18"/>
              </w:rPr>
              <w:t>废水（生活污水）、废气、固废、噪声等</w:t>
            </w:r>
          </w:p>
        </w:tc>
        <w:tc>
          <w:tcPr>
            <w:tcW w:w="1239" w:type="dxa"/>
            <w:tcBorders>
              <w:tl2br w:val="nil"/>
              <w:tr2bl w:val="nil"/>
            </w:tcBorders>
            <w:shd w:val="clear" w:color="auto" w:fill="FFFFFF"/>
            <w:noWrap w:val="0"/>
            <w:vAlign w:val="center"/>
          </w:tcPr>
          <w:p>
            <w:pPr>
              <w:snapToGrid w:val="0"/>
              <w:spacing w:line="360" w:lineRule="auto"/>
              <w:jc w:val="left"/>
              <w:rPr>
                <w:rFonts w:hint="eastAsia" w:ascii="宋体" w:hAnsi="宋体" w:eastAsia="宋体" w:cs="宋体"/>
                <w:sz w:val="18"/>
                <w:szCs w:val="18"/>
              </w:rPr>
            </w:pPr>
            <w:r>
              <w:rPr>
                <w:rFonts w:hint="eastAsia" w:ascii="宋体" w:hAnsi="宋体" w:eastAsia="宋体" w:cs="宋体"/>
                <w:sz w:val="18"/>
                <w:szCs w:val="18"/>
              </w:rPr>
              <w:t>污染水体、空气污染、危害人体、破坏生态、干扰居民生活</w:t>
            </w:r>
          </w:p>
        </w:tc>
        <w:tc>
          <w:tcPr>
            <w:tcW w:w="1455" w:type="dxa"/>
            <w:tcBorders>
              <w:tl2br w:val="nil"/>
              <w:tr2bl w:val="nil"/>
            </w:tcBorders>
            <w:shd w:val="clear" w:color="auto" w:fill="FFFFFF"/>
            <w:noWrap w:val="0"/>
            <w:vAlign w:val="center"/>
          </w:tcPr>
          <w:p>
            <w:pPr>
              <w:snapToGrid w:val="0"/>
              <w:spacing w:line="360" w:lineRule="auto"/>
              <w:rPr>
                <w:rFonts w:hint="eastAsia" w:ascii="宋体" w:hAnsi="宋体" w:eastAsia="宋体" w:cs="宋体"/>
                <w:sz w:val="18"/>
                <w:szCs w:val="18"/>
              </w:rPr>
            </w:pPr>
            <w:r>
              <w:rPr>
                <w:rFonts w:hint="eastAsia" w:ascii="宋体" w:hAnsi="宋体" w:eastAsia="宋体" w:cs="宋体"/>
                <w:sz w:val="18"/>
                <w:szCs w:val="18"/>
              </w:rPr>
              <w:t>《污水综合排放标准》、一 级标准、《工业企业厂界噪声标准》、《国家危险废物名录》等。</w:t>
            </w:r>
          </w:p>
        </w:tc>
        <w:tc>
          <w:tcPr>
            <w:tcW w:w="1940" w:type="dxa"/>
            <w:tcBorders>
              <w:tl2br w:val="nil"/>
              <w:tr2bl w:val="nil"/>
            </w:tcBorders>
            <w:shd w:val="clear" w:color="auto" w:fill="FFFFFF"/>
            <w:noWrap w:val="0"/>
            <w:vAlign w:val="center"/>
          </w:tcPr>
          <w:p>
            <w:pPr>
              <w:snapToGrid w:val="0"/>
              <w:spacing w:line="360" w:lineRule="auto"/>
              <w:ind w:left="-85" w:leftChars="-46" w:right="-59" w:rightChars="-28" w:hanging="12" w:hangingChars="7"/>
              <w:jc w:val="left"/>
              <w:rPr>
                <w:rFonts w:hint="eastAsia" w:ascii="宋体" w:hAnsi="宋体" w:eastAsia="宋体" w:cs="宋体"/>
                <w:sz w:val="18"/>
                <w:szCs w:val="18"/>
              </w:rPr>
            </w:pPr>
            <w:r>
              <w:rPr>
                <w:rFonts w:hint="eastAsia" w:ascii="宋体" w:hAnsi="宋体" w:eastAsia="宋体" w:cs="宋体"/>
                <w:sz w:val="18"/>
                <w:szCs w:val="18"/>
              </w:rPr>
              <w:t>废水：</w:t>
            </w:r>
          </w:p>
          <w:p>
            <w:pPr>
              <w:snapToGrid w:val="0"/>
              <w:spacing w:line="360" w:lineRule="auto"/>
              <w:ind w:left="-85" w:leftChars="-46" w:right="-59" w:rightChars="-28" w:hanging="12" w:hangingChars="7"/>
              <w:jc w:val="left"/>
              <w:rPr>
                <w:rFonts w:hint="eastAsia" w:ascii="宋体" w:hAnsi="宋体" w:eastAsia="宋体" w:cs="宋体"/>
                <w:sz w:val="18"/>
                <w:szCs w:val="18"/>
              </w:rPr>
            </w:pPr>
            <w:r>
              <w:rPr>
                <w:rFonts w:hint="eastAsia" w:ascii="宋体" w:hAnsi="宋体" w:eastAsia="宋体" w:cs="宋体"/>
                <w:sz w:val="18"/>
                <w:szCs w:val="18"/>
              </w:rPr>
              <w:t>COD≤400mg/L，BOD5≤300mg/L，pH 6-9,</w:t>
            </w:r>
          </w:p>
          <w:p>
            <w:pPr>
              <w:snapToGrid w:val="0"/>
              <w:spacing w:line="360" w:lineRule="auto"/>
              <w:ind w:left="-85" w:leftChars="-46" w:right="-59" w:rightChars="-28" w:hanging="12" w:hangingChars="7"/>
              <w:jc w:val="left"/>
              <w:rPr>
                <w:rFonts w:hint="eastAsia" w:ascii="宋体" w:hAnsi="宋体" w:eastAsia="宋体" w:cs="宋体"/>
                <w:sz w:val="18"/>
                <w:szCs w:val="18"/>
              </w:rPr>
            </w:pPr>
            <w:r>
              <w:rPr>
                <w:rFonts w:hint="eastAsia" w:ascii="宋体" w:hAnsi="宋体" w:eastAsia="宋体" w:cs="宋体"/>
                <w:sz w:val="18"/>
                <w:szCs w:val="18"/>
              </w:rPr>
              <w:t>废气：无特别废气</w:t>
            </w:r>
          </w:p>
          <w:p>
            <w:pPr>
              <w:snapToGrid w:val="0"/>
              <w:spacing w:line="360" w:lineRule="auto"/>
              <w:ind w:left="-85" w:leftChars="-46" w:right="-59" w:rightChars="-28" w:hanging="12" w:hangingChars="7"/>
              <w:jc w:val="left"/>
              <w:rPr>
                <w:rFonts w:hint="eastAsia" w:ascii="宋体" w:hAnsi="宋体" w:eastAsia="宋体" w:cs="宋体"/>
                <w:sz w:val="18"/>
                <w:szCs w:val="18"/>
              </w:rPr>
            </w:pPr>
            <w:r>
              <w:rPr>
                <w:rFonts w:hint="eastAsia" w:ascii="宋体" w:hAnsi="宋体" w:eastAsia="宋体" w:cs="宋体"/>
                <w:sz w:val="18"/>
                <w:szCs w:val="18"/>
              </w:rPr>
              <w:t>固废：塑料边角料。</w:t>
            </w:r>
          </w:p>
          <w:p>
            <w:pPr>
              <w:snapToGrid w:val="0"/>
              <w:spacing w:line="360" w:lineRule="auto"/>
              <w:ind w:left="-85" w:leftChars="-46" w:right="-59" w:rightChars="-28" w:hanging="12" w:hangingChars="7"/>
              <w:jc w:val="left"/>
              <w:rPr>
                <w:rFonts w:hint="eastAsia" w:ascii="宋体" w:hAnsi="宋体" w:eastAsia="宋体" w:cs="宋体"/>
                <w:sz w:val="18"/>
                <w:szCs w:val="18"/>
              </w:rPr>
            </w:pPr>
            <w:r>
              <w:rPr>
                <w:rFonts w:hint="eastAsia" w:ascii="宋体" w:hAnsi="宋体" w:eastAsia="宋体" w:cs="宋体"/>
                <w:sz w:val="18"/>
                <w:szCs w:val="18"/>
              </w:rPr>
              <w:t>噪声：昼间≤65分贝，夜间≤55分贝</w:t>
            </w:r>
          </w:p>
        </w:tc>
        <w:tc>
          <w:tcPr>
            <w:tcW w:w="1022" w:type="dxa"/>
            <w:tcBorders>
              <w:tl2br w:val="nil"/>
              <w:tr2bl w:val="nil"/>
            </w:tcBorders>
            <w:shd w:val="clear" w:color="auto" w:fill="FFFFFF"/>
            <w:noWrap w:val="0"/>
            <w:vAlign w:val="center"/>
          </w:tcPr>
          <w:p>
            <w:pPr>
              <w:snapToGrid w:val="0"/>
              <w:spacing w:line="360" w:lineRule="auto"/>
              <w:rPr>
                <w:rFonts w:hint="eastAsia" w:ascii="宋体" w:hAnsi="宋体" w:eastAsia="宋体" w:cs="宋体"/>
                <w:sz w:val="18"/>
                <w:szCs w:val="18"/>
              </w:rPr>
            </w:pPr>
            <w:r>
              <w:rPr>
                <w:rFonts w:hint="eastAsia" w:ascii="宋体" w:hAnsi="宋体" w:eastAsia="宋体" w:cs="宋体"/>
                <w:sz w:val="18"/>
                <w:szCs w:val="18"/>
              </w:rPr>
              <w:t>公司内部自测；</w:t>
            </w:r>
            <w:r>
              <w:rPr>
                <w:rFonts w:hint="eastAsia" w:ascii="宋体" w:hAnsi="宋体" w:eastAsia="宋体" w:cs="宋体"/>
                <w:sz w:val="18"/>
                <w:szCs w:val="18"/>
                <w:lang w:val="en-US" w:eastAsia="zh-CN"/>
              </w:rPr>
              <w:t>东阳市</w:t>
            </w:r>
            <w:r>
              <w:rPr>
                <w:rFonts w:hint="eastAsia" w:ascii="宋体" w:hAnsi="宋体" w:eastAsia="宋体" w:cs="宋体"/>
                <w:sz w:val="18"/>
                <w:szCs w:val="18"/>
              </w:rPr>
              <w:t>环保部门监测</w:t>
            </w:r>
          </w:p>
        </w:tc>
        <w:tc>
          <w:tcPr>
            <w:tcW w:w="2194" w:type="dxa"/>
            <w:tcBorders>
              <w:tl2br w:val="nil"/>
              <w:tr2bl w:val="nil"/>
            </w:tcBorders>
            <w:shd w:val="clear" w:color="auto" w:fill="FFFFFF"/>
            <w:noWrap w:val="0"/>
            <w:vAlign w:val="center"/>
          </w:tcPr>
          <w:p>
            <w:pPr>
              <w:snapToGrid w:val="0"/>
              <w:spacing w:line="360" w:lineRule="auto"/>
              <w:rPr>
                <w:rFonts w:hint="eastAsia" w:ascii="宋体" w:hAnsi="宋体" w:eastAsia="宋体" w:cs="宋体"/>
                <w:sz w:val="18"/>
                <w:szCs w:val="18"/>
              </w:rPr>
            </w:pPr>
            <w:r>
              <w:rPr>
                <w:rFonts w:hint="eastAsia" w:ascii="宋体" w:hAnsi="宋体" w:eastAsia="宋体" w:cs="宋体"/>
                <w:sz w:val="18"/>
                <w:szCs w:val="18"/>
              </w:rPr>
              <w:t>运行废水和废气处理设施、噪声每年委外监测，固废分类处置、废渣综合治理的环保设施。</w:t>
            </w:r>
            <w:r>
              <w:rPr>
                <w:rFonts w:hint="eastAsia" w:ascii="宋体" w:hAnsi="宋体" w:eastAsia="宋体" w:cs="宋体"/>
                <w:bCs/>
                <w:kern w:val="0"/>
                <w:sz w:val="18"/>
                <w:szCs w:val="18"/>
              </w:rPr>
              <w:t>危废送有资质单位处置</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wBefore w:w="0" w:type="dxa"/>
          <w:wAfter w:w="0" w:type="dxa"/>
          <w:trHeight w:val="1965" w:hRule="atLeast"/>
          <w:jc w:val="center"/>
        </w:trPr>
        <w:tc>
          <w:tcPr>
            <w:tcW w:w="709" w:type="dxa"/>
            <w:tcBorders>
              <w:tl2br w:val="nil"/>
              <w:tr2bl w:val="nil"/>
            </w:tcBorders>
            <w:shd w:val="clear" w:color="auto" w:fill="FFFFFF"/>
            <w:noWrap w:val="0"/>
            <w:vAlign w:val="center"/>
          </w:tcPr>
          <w:p>
            <w:pPr>
              <w:snapToGrid w:val="0"/>
              <w:spacing w:line="360" w:lineRule="auto"/>
              <w:jc w:val="center"/>
              <w:rPr>
                <w:rFonts w:hint="eastAsia" w:ascii="宋体" w:hAnsi="宋体" w:eastAsia="宋体" w:cs="宋体"/>
                <w:sz w:val="18"/>
                <w:szCs w:val="18"/>
              </w:rPr>
            </w:pPr>
            <w:r>
              <w:rPr>
                <w:rFonts w:hint="eastAsia" w:ascii="宋体" w:hAnsi="宋体" w:eastAsia="宋体" w:cs="宋体"/>
                <w:sz w:val="18"/>
                <w:szCs w:val="18"/>
              </w:rPr>
              <w:t>能源资源消耗</w:t>
            </w:r>
          </w:p>
        </w:tc>
        <w:tc>
          <w:tcPr>
            <w:tcW w:w="992" w:type="dxa"/>
            <w:tcBorders>
              <w:tl2br w:val="nil"/>
              <w:tr2bl w:val="nil"/>
            </w:tcBorders>
            <w:shd w:val="clear" w:color="auto" w:fill="FFFFFF"/>
            <w:noWrap w:val="0"/>
            <w:vAlign w:val="center"/>
          </w:tcPr>
          <w:p>
            <w:pPr>
              <w:snapToGrid w:val="0"/>
              <w:spacing w:line="360" w:lineRule="auto"/>
              <w:jc w:val="left"/>
              <w:rPr>
                <w:rFonts w:hint="eastAsia" w:ascii="宋体" w:hAnsi="宋体" w:eastAsia="宋体" w:cs="宋体"/>
                <w:sz w:val="18"/>
                <w:szCs w:val="18"/>
              </w:rPr>
            </w:pPr>
            <w:r>
              <w:rPr>
                <w:rFonts w:hint="eastAsia" w:ascii="宋体" w:hAnsi="宋体" w:eastAsia="宋体" w:cs="宋体"/>
                <w:sz w:val="18"/>
                <w:szCs w:val="18"/>
              </w:rPr>
              <w:t>水、电、汽等</w:t>
            </w:r>
          </w:p>
        </w:tc>
        <w:tc>
          <w:tcPr>
            <w:tcW w:w="1239" w:type="dxa"/>
            <w:tcBorders>
              <w:tl2br w:val="nil"/>
              <w:tr2bl w:val="nil"/>
            </w:tcBorders>
            <w:shd w:val="clear" w:color="auto" w:fill="FFFFFF"/>
            <w:noWrap w:val="0"/>
            <w:vAlign w:val="center"/>
          </w:tcPr>
          <w:p>
            <w:pPr>
              <w:snapToGrid w:val="0"/>
              <w:spacing w:line="360" w:lineRule="auto"/>
              <w:jc w:val="left"/>
              <w:rPr>
                <w:rFonts w:hint="eastAsia" w:ascii="宋体" w:hAnsi="宋体" w:eastAsia="宋体" w:cs="宋体"/>
                <w:bCs/>
                <w:sz w:val="18"/>
                <w:szCs w:val="18"/>
              </w:rPr>
            </w:pPr>
            <w:r>
              <w:rPr>
                <w:rFonts w:hint="eastAsia" w:ascii="宋体" w:hAnsi="宋体" w:eastAsia="宋体" w:cs="宋体"/>
                <w:bCs/>
                <w:sz w:val="18"/>
                <w:szCs w:val="18"/>
              </w:rPr>
              <w:t>增加生产成本；浪费能源资源；影响可持续发展</w:t>
            </w:r>
          </w:p>
        </w:tc>
        <w:tc>
          <w:tcPr>
            <w:tcW w:w="1455" w:type="dxa"/>
            <w:tcBorders>
              <w:tl2br w:val="nil"/>
              <w:tr2bl w:val="nil"/>
            </w:tcBorders>
            <w:shd w:val="clear" w:color="auto" w:fill="FFFFFF"/>
            <w:noWrap w:val="0"/>
            <w:vAlign w:val="center"/>
          </w:tcPr>
          <w:p>
            <w:pPr>
              <w:snapToGrid w:val="0"/>
              <w:spacing w:line="360" w:lineRule="auto"/>
              <w:rPr>
                <w:rFonts w:hint="eastAsia" w:ascii="宋体" w:hAnsi="宋体" w:eastAsia="宋体" w:cs="宋体"/>
                <w:bCs/>
                <w:sz w:val="18"/>
                <w:szCs w:val="18"/>
              </w:rPr>
            </w:pPr>
            <w:r>
              <w:rPr>
                <w:rFonts w:hint="eastAsia" w:ascii="宋体" w:hAnsi="宋体" w:eastAsia="宋体" w:cs="宋体"/>
                <w:sz w:val="18"/>
                <w:szCs w:val="18"/>
              </w:rPr>
              <w:t>《中华人民共和国节约能源法》、《浙江省实施〈中华人民共和国节约能源法〉办法》等</w:t>
            </w:r>
          </w:p>
        </w:tc>
        <w:tc>
          <w:tcPr>
            <w:tcW w:w="1940" w:type="dxa"/>
            <w:tcBorders>
              <w:tl2br w:val="nil"/>
              <w:tr2bl w:val="nil"/>
            </w:tcBorders>
            <w:shd w:val="clear" w:color="auto" w:fill="FFFFFF"/>
            <w:noWrap w:val="0"/>
            <w:vAlign w:val="center"/>
          </w:tcPr>
          <w:p>
            <w:pPr>
              <w:snapToGrid w:val="0"/>
              <w:spacing w:line="360" w:lineRule="auto"/>
              <w:rPr>
                <w:rFonts w:hint="eastAsia" w:ascii="宋体" w:hAnsi="宋体" w:eastAsia="宋体" w:cs="宋体"/>
                <w:sz w:val="18"/>
                <w:szCs w:val="18"/>
              </w:rPr>
            </w:pPr>
            <w:r>
              <w:rPr>
                <w:rFonts w:hint="eastAsia" w:ascii="宋体" w:hAnsi="宋体" w:eastAsia="宋体" w:cs="宋体"/>
                <w:sz w:val="18"/>
                <w:szCs w:val="18"/>
              </w:rPr>
              <w:t>每万元不变产值综合能耗下降3%</w:t>
            </w:r>
          </w:p>
        </w:tc>
        <w:tc>
          <w:tcPr>
            <w:tcW w:w="1022" w:type="dxa"/>
            <w:tcBorders>
              <w:tl2br w:val="nil"/>
              <w:tr2bl w:val="nil"/>
            </w:tcBorders>
            <w:shd w:val="clear" w:color="auto" w:fill="FFFFFF"/>
            <w:noWrap w:val="0"/>
            <w:vAlign w:val="center"/>
          </w:tcPr>
          <w:p>
            <w:pPr>
              <w:snapToGrid w:val="0"/>
              <w:spacing w:line="360" w:lineRule="auto"/>
              <w:rPr>
                <w:rFonts w:hint="eastAsia" w:ascii="宋体" w:hAnsi="宋体" w:eastAsia="宋体" w:cs="宋体"/>
                <w:sz w:val="18"/>
                <w:szCs w:val="18"/>
              </w:rPr>
            </w:pPr>
            <w:r>
              <w:rPr>
                <w:rFonts w:hint="eastAsia" w:ascii="宋体" w:hAnsi="宋体" w:eastAsia="宋体" w:cs="宋体"/>
                <w:sz w:val="18"/>
                <w:szCs w:val="18"/>
              </w:rPr>
              <w:t>内部监测、统计分析</w:t>
            </w:r>
          </w:p>
        </w:tc>
        <w:tc>
          <w:tcPr>
            <w:tcW w:w="2194" w:type="dxa"/>
            <w:tcBorders>
              <w:tl2br w:val="nil"/>
              <w:tr2bl w:val="nil"/>
            </w:tcBorders>
            <w:shd w:val="clear" w:color="auto" w:fill="FFFFFF"/>
            <w:noWrap w:val="0"/>
            <w:vAlign w:val="center"/>
          </w:tcPr>
          <w:p>
            <w:pPr>
              <w:snapToGrid w:val="0"/>
              <w:spacing w:line="360" w:lineRule="auto"/>
              <w:rPr>
                <w:rFonts w:hint="eastAsia" w:ascii="宋体" w:hAnsi="宋体" w:eastAsia="宋体" w:cs="宋体"/>
                <w:sz w:val="18"/>
                <w:szCs w:val="18"/>
              </w:rPr>
            </w:pPr>
            <w:r>
              <w:rPr>
                <w:rFonts w:hint="eastAsia" w:ascii="宋体" w:hAnsi="宋体" w:eastAsia="宋体" w:cs="宋体"/>
                <w:sz w:val="18"/>
                <w:szCs w:val="18"/>
              </w:rPr>
              <w:t>车间实施能资源考核；</w:t>
            </w:r>
          </w:p>
          <w:p>
            <w:pPr>
              <w:snapToGrid w:val="0"/>
              <w:spacing w:line="360" w:lineRule="auto"/>
              <w:rPr>
                <w:rFonts w:hint="eastAsia" w:ascii="宋体" w:hAnsi="宋体" w:eastAsia="宋体" w:cs="宋体"/>
                <w:bCs/>
                <w:sz w:val="18"/>
                <w:szCs w:val="18"/>
              </w:rPr>
            </w:pPr>
            <w:r>
              <w:rPr>
                <w:rFonts w:hint="eastAsia" w:ascii="宋体" w:hAnsi="宋体" w:eastAsia="宋体" w:cs="宋体"/>
                <w:sz w:val="18"/>
                <w:szCs w:val="18"/>
              </w:rPr>
              <w:t>推广应用节能新技术、新设备、新工艺</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wBefore w:w="0" w:type="dxa"/>
          <w:wAfter w:w="0" w:type="dxa"/>
          <w:trHeight w:val="1753" w:hRule="atLeast"/>
          <w:jc w:val="center"/>
        </w:trPr>
        <w:tc>
          <w:tcPr>
            <w:tcW w:w="709" w:type="dxa"/>
            <w:tcBorders>
              <w:tl2br w:val="nil"/>
              <w:tr2bl w:val="nil"/>
            </w:tcBorders>
            <w:shd w:val="clear" w:color="auto" w:fill="FFFFFF"/>
            <w:noWrap w:val="0"/>
            <w:vAlign w:val="center"/>
          </w:tcPr>
          <w:p>
            <w:pPr>
              <w:snapToGrid w:val="0"/>
              <w:spacing w:line="360" w:lineRule="auto"/>
              <w:jc w:val="center"/>
              <w:rPr>
                <w:rFonts w:hint="eastAsia" w:ascii="宋体" w:hAnsi="宋体" w:eastAsia="宋体" w:cs="宋体"/>
                <w:sz w:val="18"/>
                <w:szCs w:val="18"/>
              </w:rPr>
            </w:pPr>
            <w:r>
              <w:rPr>
                <w:rFonts w:hint="eastAsia" w:ascii="宋体" w:hAnsi="宋体" w:eastAsia="宋体" w:cs="宋体"/>
                <w:sz w:val="18"/>
                <w:szCs w:val="18"/>
              </w:rPr>
              <w:t>安全</w:t>
            </w:r>
          </w:p>
          <w:p>
            <w:pPr>
              <w:snapToGrid w:val="0"/>
              <w:spacing w:line="360" w:lineRule="auto"/>
              <w:jc w:val="center"/>
              <w:rPr>
                <w:rFonts w:hint="eastAsia" w:ascii="宋体" w:hAnsi="宋体" w:eastAsia="宋体" w:cs="宋体"/>
                <w:sz w:val="18"/>
                <w:szCs w:val="18"/>
              </w:rPr>
            </w:pPr>
            <w:r>
              <w:rPr>
                <w:rFonts w:hint="eastAsia" w:ascii="宋体" w:hAnsi="宋体" w:eastAsia="宋体" w:cs="宋体"/>
                <w:sz w:val="18"/>
                <w:szCs w:val="18"/>
              </w:rPr>
              <w:t>生产</w:t>
            </w:r>
          </w:p>
        </w:tc>
        <w:tc>
          <w:tcPr>
            <w:tcW w:w="992" w:type="dxa"/>
            <w:tcBorders>
              <w:tl2br w:val="nil"/>
              <w:tr2bl w:val="nil"/>
            </w:tcBorders>
            <w:shd w:val="clear" w:color="auto" w:fill="FFFFFF"/>
            <w:noWrap w:val="0"/>
            <w:vAlign w:val="center"/>
          </w:tcPr>
          <w:p>
            <w:pPr>
              <w:snapToGrid w:val="0"/>
              <w:spacing w:line="360" w:lineRule="auto"/>
              <w:jc w:val="left"/>
              <w:rPr>
                <w:rFonts w:hint="eastAsia" w:ascii="宋体" w:hAnsi="宋体" w:eastAsia="宋体" w:cs="宋体"/>
                <w:sz w:val="18"/>
                <w:szCs w:val="18"/>
              </w:rPr>
            </w:pPr>
            <w:r>
              <w:rPr>
                <w:rFonts w:hint="eastAsia" w:ascii="宋体" w:hAnsi="宋体" w:eastAsia="宋体" w:cs="宋体"/>
                <w:sz w:val="18"/>
                <w:szCs w:val="18"/>
              </w:rPr>
              <w:t>物体打击、机械伤害、触电、灼烫、中毒</w:t>
            </w:r>
          </w:p>
        </w:tc>
        <w:tc>
          <w:tcPr>
            <w:tcW w:w="1239" w:type="dxa"/>
            <w:tcBorders>
              <w:tl2br w:val="nil"/>
              <w:tr2bl w:val="nil"/>
            </w:tcBorders>
            <w:shd w:val="clear" w:color="auto" w:fill="FFFFFF"/>
            <w:noWrap w:val="0"/>
            <w:vAlign w:val="center"/>
          </w:tcPr>
          <w:p>
            <w:pPr>
              <w:snapToGrid w:val="0"/>
              <w:spacing w:line="360" w:lineRule="auto"/>
              <w:jc w:val="left"/>
              <w:rPr>
                <w:rFonts w:hint="eastAsia" w:ascii="宋体" w:hAnsi="宋体" w:eastAsia="宋体" w:cs="宋体"/>
                <w:sz w:val="18"/>
                <w:szCs w:val="18"/>
              </w:rPr>
            </w:pPr>
            <w:r>
              <w:rPr>
                <w:rFonts w:hint="eastAsia" w:ascii="宋体" w:hAnsi="宋体" w:eastAsia="宋体" w:cs="宋体"/>
                <w:sz w:val="18"/>
                <w:szCs w:val="18"/>
              </w:rPr>
              <w:t>人员伤亡；财产损失；</w:t>
            </w:r>
          </w:p>
          <w:p>
            <w:pPr>
              <w:snapToGrid w:val="0"/>
              <w:spacing w:line="360" w:lineRule="auto"/>
              <w:jc w:val="left"/>
              <w:rPr>
                <w:rFonts w:hint="eastAsia" w:ascii="宋体" w:hAnsi="宋体" w:eastAsia="宋体" w:cs="宋体"/>
                <w:sz w:val="18"/>
                <w:szCs w:val="18"/>
              </w:rPr>
            </w:pPr>
            <w:r>
              <w:rPr>
                <w:rFonts w:hint="eastAsia" w:ascii="宋体" w:hAnsi="宋体" w:eastAsia="宋体" w:cs="宋体"/>
                <w:sz w:val="18"/>
                <w:szCs w:val="18"/>
              </w:rPr>
              <w:t>影响社会稳定</w:t>
            </w:r>
          </w:p>
        </w:tc>
        <w:tc>
          <w:tcPr>
            <w:tcW w:w="1455" w:type="dxa"/>
            <w:tcBorders>
              <w:tl2br w:val="nil"/>
              <w:tr2bl w:val="nil"/>
            </w:tcBorders>
            <w:shd w:val="clear" w:color="auto" w:fill="FFFFFF"/>
            <w:noWrap w:val="0"/>
            <w:vAlign w:val="center"/>
          </w:tcPr>
          <w:p>
            <w:pPr>
              <w:snapToGrid w:val="0"/>
              <w:spacing w:line="360" w:lineRule="auto"/>
              <w:jc w:val="left"/>
              <w:rPr>
                <w:rFonts w:hint="eastAsia" w:ascii="宋体" w:hAnsi="宋体" w:eastAsia="宋体" w:cs="宋体"/>
                <w:sz w:val="18"/>
                <w:szCs w:val="18"/>
              </w:rPr>
            </w:pPr>
            <w:r>
              <w:rPr>
                <w:rFonts w:hint="eastAsia" w:ascii="宋体" w:hAnsi="宋体" w:eastAsia="宋体" w:cs="宋体"/>
                <w:sz w:val="18"/>
                <w:szCs w:val="18"/>
              </w:rPr>
              <w:t>《中华人民共和国安全生产法》、《消防法》等</w:t>
            </w:r>
          </w:p>
        </w:tc>
        <w:tc>
          <w:tcPr>
            <w:tcW w:w="1940" w:type="dxa"/>
            <w:tcBorders>
              <w:tl2br w:val="nil"/>
              <w:tr2bl w:val="nil"/>
            </w:tcBorders>
            <w:shd w:val="clear" w:color="auto" w:fill="FFFFFF"/>
            <w:noWrap w:val="0"/>
            <w:vAlign w:val="center"/>
          </w:tcPr>
          <w:p>
            <w:pPr>
              <w:snapToGrid w:val="0"/>
              <w:spacing w:line="360" w:lineRule="auto"/>
              <w:jc w:val="left"/>
              <w:rPr>
                <w:rFonts w:hint="eastAsia" w:ascii="宋体" w:hAnsi="宋体" w:eastAsia="宋体" w:cs="宋体"/>
                <w:sz w:val="18"/>
                <w:szCs w:val="18"/>
              </w:rPr>
            </w:pPr>
            <w:r>
              <w:rPr>
                <w:rFonts w:hint="eastAsia" w:ascii="宋体" w:hAnsi="宋体" w:eastAsia="宋体" w:cs="宋体"/>
                <w:sz w:val="18"/>
                <w:szCs w:val="18"/>
              </w:rPr>
              <w:t>无死亡事故，重大火灾、爆炸、泄漏事故趋于零；一般事故较上年下降10%。</w:t>
            </w:r>
          </w:p>
          <w:p>
            <w:pPr>
              <w:snapToGrid w:val="0"/>
              <w:spacing w:line="360" w:lineRule="auto"/>
              <w:jc w:val="left"/>
              <w:rPr>
                <w:rFonts w:hint="eastAsia" w:ascii="宋体" w:hAnsi="宋体" w:eastAsia="宋体" w:cs="宋体"/>
                <w:sz w:val="18"/>
                <w:szCs w:val="18"/>
              </w:rPr>
            </w:pPr>
            <w:r>
              <w:rPr>
                <w:rFonts w:hint="eastAsia" w:ascii="宋体" w:hAnsi="宋体" w:eastAsia="宋体" w:cs="宋体"/>
                <w:sz w:val="18"/>
                <w:szCs w:val="18"/>
              </w:rPr>
              <w:t>设备完好率≥95%</w:t>
            </w:r>
          </w:p>
        </w:tc>
        <w:tc>
          <w:tcPr>
            <w:tcW w:w="1022" w:type="dxa"/>
            <w:tcBorders>
              <w:tl2br w:val="nil"/>
              <w:tr2bl w:val="nil"/>
            </w:tcBorders>
            <w:shd w:val="clear" w:color="auto" w:fill="FFFFFF"/>
            <w:noWrap w:val="0"/>
            <w:vAlign w:val="center"/>
          </w:tcPr>
          <w:p>
            <w:pPr>
              <w:snapToGrid w:val="0"/>
              <w:spacing w:line="360" w:lineRule="auto"/>
              <w:jc w:val="center"/>
              <w:rPr>
                <w:rFonts w:hint="eastAsia" w:ascii="宋体" w:hAnsi="宋体" w:eastAsia="宋体" w:cs="宋体"/>
                <w:sz w:val="18"/>
                <w:szCs w:val="18"/>
              </w:rPr>
            </w:pPr>
            <w:r>
              <w:rPr>
                <w:rFonts w:hint="eastAsia" w:ascii="宋体" w:hAnsi="宋体" w:eastAsia="宋体" w:cs="宋体"/>
                <w:sz w:val="18"/>
                <w:szCs w:val="18"/>
              </w:rPr>
              <w:t>安全检查，安全评价</w:t>
            </w:r>
          </w:p>
        </w:tc>
        <w:tc>
          <w:tcPr>
            <w:tcW w:w="2194" w:type="dxa"/>
            <w:tcBorders>
              <w:tl2br w:val="nil"/>
              <w:tr2bl w:val="nil"/>
            </w:tcBorders>
            <w:shd w:val="clear" w:color="auto" w:fill="FFFFFF"/>
            <w:noWrap w:val="0"/>
            <w:vAlign w:val="center"/>
          </w:tcPr>
          <w:p>
            <w:pPr>
              <w:snapToGrid w:val="0"/>
              <w:spacing w:line="360" w:lineRule="auto"/>
              <w:jc w:val="left"/>
              <w:rPr>
                <w:rFonts w:hint="eastAsia" w:ascii="宋体" w:hAnsi="宋体" w:eastAsia="宋体" w:cs="宋体"/>
                <w:sz w:val="18"/>
                <w:szCs w:val="18"/>
              </w:rPr>
            </w:pPr>
            <w:r>
              <w:rPr>
                <w:rFonts w:hint="eastAsia" w:ascii="宋体" w:hAnsi="宋体" w:eastAsia="宋体" w:cs="宋体"/>
                <w:sz w:val="18"/>
                <w:szCs w:val="18"/>
              </w:rPr>
              <w:t>《</w:t>
            </w:r>
            <w:bookmarkStart w:id="0" w:name="OLE_LINK3"/>
            <w:r>
              <w:rPr>
                <w:rFonts w:hint="eastAsia" w:ascii="宋体" w:hAnsi="宋体" w:eastAsia="宋体" w:cs="宋体"/>
                <w:sz w:val="18"/>
                <w:szCs w:val="18"/>
              </w:rPr>
              <w:t>生产设备管理控制程序》；《应急准备和响应程序》</w:t>
            </w:r>
            <w:bookmarkEnd w:id="0"/>
            <w:r>
              <w:rPr>
                <w:rFonts w:hint="eastAsia" w:ascii="宋体" w:hAnsi="宋体" w:eastAsia="宋体" w:cs="宋体"/>
                <w:sz w:val="18"/>
                <w:szCs w:val="18"/>
              </w:rPr>
              <w:t>；签署安全生产责任书；安全培训；</w:t>
            </w:r>
          </w:p>
          <w:p>
            <w:pPr>
              <w:snapToGrid w:val="0"/>
              <w:spacing w:line="360" w:lineRule="auto"/>
              <w:jc w:val="left"/>
              <w:rPr>
                <w:rFonts w:hint="eastAsia" w:ascii="宋体" w:hAnsi="宋体" w:eastAsia="宋体" w:cs="宋体"/>
                <w:sz w:val="18"/>
                <w:szCs w:val="18"/>
              </w:rPr>
            </w:pPr>
            <w:r>
              <w:rPr>
                <w:rFonts w:hint="eastAsia" w:ascii="宋体" w:hAnsi="宋体" w:eastAsia="宋体" w:cs="宋体"/>
                <w:sz w:val="18"/>
                <w:szCs w:val="18"/>
              </w:rPr>
              <w:t>执行安全“三同时”等</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wBefore w:w="0" w:type="dxa"/>
          <w:wAfter w:w="0" w:type="dxa"/>
          <w:trHeight w:val="594" w:hRule="atLeast"/>
          <w:jc w:val="center"/>
        </w:trPr>
        <w:tc>
          <w:tcPr>
            <w:tcW w:w="709" w:type="dxa"/>
            <w:tcBorders>
              <w:tl2br w:val="nil"/>
              <w:tr2bl w:val="nil"/>
            </w:tcBorders>
            <w:shd w:val="clear" w:color="auto" w:fill="FFFFFF"/>
            <w:noWrap w:val="0"/>
            <w:vAlign w:val="center"/>
          </w:tcPr>
          <w:p>
            <w:pPr>
              <w:snapToGrid w:val="0"/>
              <w:spacing w:line="360" w:lineRule="auto"/>
              <w:jc w:val="center"/>
              <w:rPr>
                <w:rFonts w:hint="eastAsia" w:ascii="宋体" w:hAnsi="宋体" w:eastAsia="宋体" w:cs="宋体"/>
                <w:sz w:val="18"/>
                <w:szCs w:val="18"/>
              </w:rPr>
            </w:pPr>
            <w:r>
              <w:rPr>
                <w:rFonts w:hint="eastAsia" w:ascii="宋体" w:hAnsi="宋体" w:eastAsia="宋体" w:cs="宋体"/>
                <w:sz w:val="18"/>
                <w:szCs w:val="18"/>
              </w:rPr>
              <w:t>产品</w:t>
            </w:r>
          </w:p>
          <w:p>
            <w:pPr>
              <w:snapToGrid w:val="0"/>
              <w:spacing w:line="360" w:lineRule="auto"/>
              <w:jc w:val="center"/>
              <w:rPr>
                <w:rFonts w:hint="eastAsia" w:ascii="宋体" w:hAnsi="宋体" w:eastAsia="宋体" w:cs="宋体"/>
                <w:sz w:val="18"/>
                <w:szCs w:val="18"/>
              </w:rPr>
            </w:pPr>
            <w:r>
              <w:rPr>
                <w:rFonts w:hint="eastAsia" w:ascii="宋体" w:hAnsi="宋体" w:eastAsia="宋体" w:cs="宋体"/>
                <w:sz w:val="18"/>
                <w:szCs w:val="18"/>
              </w:rPr>
              <w:t>安全</w:t>
            </w:r>
          </w:p>
        </w:tc>
        <w:tc>
          <w:tcPr>
            <w:tcW w:w="992" w:type="dxa"/>
            <w:tcBorders>
              <w:tl2br w:val="nil"/>
              <w:tr2bl w:val="nil"/>
            </w:tcBorders>
            <w:shd w:val="clear" w:color="auto" w:fill="FFFFFF"/>
            <w:noWrap w:val="0"/>
            <w:vAlign w:val="center"/>
          </w:tcPr>
          <w:p>
            <w:pPr>
              <w:snapToGrid w:val="0"/>
              <w:spacing w:line="360" w:lineRule="auto"/>
              <w:jc w:val="left"/>
              <w:rPr>
                <w:rFonts w:hint="eastAsia" w:ascii="宋体" w:hAnsi="宋体" w:eastAsia="宋体" w:cs="宋体"/>
                <w:sz w:val="18"/>
                <w:szCs w:val="18"/>
              </w:rPr>
            </w:pPr>
          </w:p>
        </w:tc>
        <w:tc>
          <w:tcPr>
            <w:tcW w:w="1239" w:type="dxa"/>
            <w:tcBorders>
              <w:tl2br w:val="nil"/>
              <w:tr2bl w:val="nil"/>
            </w:tcBorders>
            <w:shd w:val="clear" w:color="auto" w:fill="FFFFFF"/>
            <w:noWrap w:val="0"/>
            <w:vAlign w:val="center"/>
          </w:tcPr>
          <w:p>
            <w:pPr>
              <w:snapToGrid w:val="0"/>
              <w:spacing w:line="360" w:lineRule="auto"/>
              <w:jc w:val="left"/>
              <w:rPr>
                <w:rFonts w:hint="eastAsia" w:ascii="宋体" w:hAnsi="宋体" w:eastAsia="宋体" w:cs="宋体"/>
                <w:sz w:val="18"/>
                <w:szCs w:val="18"/>
              </w:rPr>
            </w:pPr>
            <w:r>
              <w:rPr>
                <w:rFonts w:hint="eastAsia" w:ascii="宋体" w:hAnsi="宋体" w:eastAsia="宋体" w:cs="宋体"/>
                <w:sz w:val="18"/>
                <w:szCs w:val="18"/>
              </w:rPr>
              <w:t>人员伤亡</w:t>
            </w:r>
          </w:p>
        </w:tc>
        <w:tc>
          <w:tcPr>
            <w:tcW w:w="1455" w:type="dxa"/>
            <w:tcBorders>
              <w:tl2br w:val="nil"/>
              <w:tr2bl w:val="nil"/>
            </w:tcBorders>
            <w:shd w:val="clear" w:color="auto" w:fill="FFFFFF"/>
            <w:noWrap w:val="0"/>
            <w:vAlign w:val="center"/>
          </w:tcPr>
          <w:p>
            <w:pPr>
              <w:snapToGrid w:val="0"/>
              <w:spacing w:line="360" w:lineRule="auto"/>
              <w:jc w:val="left"/>
              <w:rPr>
                <w:rFonts w:hint="eastAsia" w:ascii="宋体" w:hAnsi="宋体" w:eastAsia="宋体" w:cs="宋体"/>
                <w:sz w:val="18"/>
                <w:szCs w:val="18"/>
              </w:rPr>
            </w:pPr>
            <w:r>
              <w:rPr>
                <w:rFonts w:hint="eastAsia" w:ascii="宋体" w:hAnsi="宋体" w:eastAsia="宋体" w:cs="宋体"/>
                <w:sz w:val="18"/>
                <w:szCs w:val="18"/>
              </w:rPr>
              <w:t>各类产品标准</w:t>
            </w:r>
          </w:p>
        </w:tc>
        <w:tc>
          <w:tcPr>
            <w:tcW w:w="1940" w:type="dxa"/>
            <w:tcBorders>
              <w:tl2br w:val="nil"/>
              <w:tr2bl w:val="nil"/>
            </w:tcBorders>
            <w:shd w:val="clear" w:color="auto" w:fill="FFFFFF"/>
            <w:noWrap w:val="0"/>
            <w:vAlign w:val="center"/>
          </w:tcPr>
          <w:p>
            <w:pPr>
              <w:snapToGrid w:val="0"/>
              <w:spacing w:line="360" w:lineRule="auto"/>
              <w:jc w:val="left"/>
              <w:rPr>
                <w:rFonts w:hint="eastAsia" w:ascii="宋体" w:hAnsi="宋体" w:eastAsia="宋体" w:cs="宋体"/>
                <w:sz w:val="18"/>
                <w:szCs w:val="18"/>
              </w:rPr>
            </w:pPr>
            <w:r>
              <w:rPr>
                <w:rFonts w:hint="eastAsia" w:ascii="宋体" w:hAnsi="宋体" w:eastAsia="宋体" w:cs="宋体"/>
                <w:sz w:val="18"/>
                <w:szCs w:val="18"/>
              </w:rPr>
              <w:t>最终成品一次检验合格率100%</w:t>
            </w:r>
          </w:p>
        </w:tc>
        <w:tc>
          <w:tcPr>
            <w:tcW w:w="1022" w:type="dxa"/>
            <w:tcBorders>
              <w:tl2br w:val="nil"/>
              <w:tr2bl w:val="nil"/>
            </w:tcBorders>
            <w:shd w:val="clear" w:color="auto" w:fill="FFFFFF"/>
            <w:noWrap w:val="0"/>
            <w:vAlign w:val="center"/>
          </w:tcPr>
          <w:p>
            <w:pPr>
              <w:snapToGrid w:val="0"/>
              <w:spacing w:line="360" w:lineRule="auto"/>
              <w:rPr>
                <w:rFonts w:hint="eastAsia" w:ascii="宋体" w:hAnsi="宋体" w:eastAsia="宋体" w:cs="宋体"/>
                <w:sz w:val="18"/>
                <w:szCs w:val="18"/>
              </w:rPr>
            </w:pPr>
            <w:r>
              <w:rPr>
                <w:rFonts w:hint="eastAsia" w:ascii="宋体" w:hAnsi="宋体" w:eastAsia="宋体" w:cs="宋体"/>
                <w:sz w:val="18"/>
                <w:szCs w:val="18"/>
              </w:rPr>
              <w:t>检验报告</w:t>
            </w:r>
          </w:p>
        </w:tc>
        <w:tc>
          <w:tcPr>
            <w:tcW w:w="2194" w:type="dxa"/>
            <w:tcBorders>
              <w:tl2br w:val="nil"/>
              <w:tr2bl w:val="nil"/>
            </w:tcBorders>
            <w:shd w:val="clear" w:color="auto" w:fill="FFFFFF"/>
            <w:noWrap w:val="0"/>
            <w:vAlign w:val="center"/>
          </w:tcPr>
          <w:p>
            <w:pPr>
              <w:snapToGrid w:val="0"/>
              <w:spacing w:line="360" w:lineRule="auto"/>
              <w:rPr>
                <w:rFonts w:hint="eastAsia" w:ascii="宋体" w:hAnsi="宋体" w:eastAsia="宋体" w:cs="宋体"/>
                <w:sz w:val="18"/>
                <w:szCs w:val="18"/>
              </w:rPr>
            </w:pPr>
            <w:r>
              <w:rPr>
                <w:rFonts w:hint="eastAsia" w:ascii="宋体" w:hAnsi="宋体" w:eastAsia="宋体" w:cs="宋体"/>
                <w:sz w:val="18"/>
                <w:szCs w:val="18"/>
              </w:rPr>
              <w:t>《产品的测量和放行控制程序》</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wBefore w:w="0" w:type="dxa"/>
          <w:wAfter w:w="0" w:type="dxa"/>
          <w:trHeight w:val="1320" w:hRule="atLeast"/>
          <w:jc w:val="center"/>
        </w:trPr>
        <w:tc>
          <w:tcPr>
            <w:tcW w:w="709" w:type="dxa"/>
            <w:tcBorders>
              <w:tl2br w:val="nil"/>
              <w:tr2bl w:val="nil"/>
            </w:tcBorders>
            <w:shd w:val="clear" w:color="auto" w:fill="FFFFFF"/>
            <w:noWrap w:val="0"/>
            <w:vAlign w:val="center"/>
          </w:tcPr>
          <w:p>
            <w:pPr>
              <w:snapToGrid w:val="0"/>
              <w:spacing w:line="360" w:lineRule="auto"/>
              <w:jc w:val="center"/>
              <w:rPr>
                <w:rFonts w:hint="eastAsia" w:ascii="宋体" w:hAnsi="宋体" w:eastAsia="宋体" w:cs="宋体"/>
                <w:sz w:val="18"/>
                <w:szCs w:val="18"/>
              </w:rPr>
            </w:pPr>
            <w:r>
              <w:rPr>
                <w:rFonts w:hint="eastAsia" w:ascii="宋体" w:hAnsi="宋体" w:eastAsia="宋体" w:cs="宋体"/>
                <w:sz w:val="18"/>
                <w:szCs w:val="18"/>
              </w:rPr>
              <w:t>公共</w:t>
            </w:r>
          </w:p>
          <w:p>
            <w:pPr>
              <w:snapToGrid w:val="0"/>
              <w:spacing w:line="360" w:lineRule="auto"/>
              <w:jc w:val="center"/>
              <w:rPr>
                <w:rFonts w:hint="eastAsia" w:ascii="宋体" w:hAnsi="宋体" w:eastAsia="宋体" w:cs="宋体"/>
                <w:sz w:val="18"/>
                <w:szCs w:val="18"/>
              </w:rPr>
            </w:pPr>
            <w:r>
              <w:rPr>
                <w:rFonts w:hint="eastAsia" w:ascii="宋体" w:hAnsi="宋体" w:eastAsia="宋体" w:cs="宋体"/>
                <w:sz w:val="18"/>
                <w:szCs w:val="18"/>
              </w:rPr>
              <w:t>卫生</w:t>
            </w:r>
          </w:p>
        </w:tc>
        <w:tc>
          <w:tcPr>
            <w:tcW w:w="992" w:type="dxa"/>
            <w:tcBorders>
              <w:tl2br w:val="nil"/>
              <w:tr2bl w:val="nil"/>
            </w:tcBorders>
            <w:shd w:val="clear" w:color="auto" w:fill="FFFFFF"/>
            <w:noWrap w:val="0"/>
            <w:vAlign w:val="center"/>
          </w:tcPr>
          <w:p>
            <w:pPr>
              <w:snapToGrid w:val="0"/>
              <w:spacing w:line="360" w:lineRule="auto"/>
              <w:jc w:val="left"/>
              <w:rPr>
                <w:rFonts w:hint="eastAsia" w:ascii="宋体" w:hAnsi="宋体" w:eastAsia="宋体" w:cs="宋体"/>
                <w:sz w:val="18"/>
                <w:szCs w:val="18"/>
              </w:rPr>
            </w:pPr>
            <w:r>
              <w:rPr>
                <w:rFonts w:hint="eastAsia" w:ascii="宋体" w:hAnsi="宋体" w:eastAsia="宋体" w:cs="宋体"/>
                <w:sz w:val="18"/>
                <w:szCs w:val="18"/>
              </w:rPr>
              <w:t>有毒物质等</w:t>
            </w:r>
          </w:p>
        </w:tc>
        <w:tc>
          <w:tcPr>
            <w:tcW w:w="1239" w:type="dxa"/>
            <w:tcBorders>
              <w:tl2br w:val="nil"/>
              <w:tr2bl w:val="nil"/>
            </w:tcBorders>
            <w:shd w:val="clear" w:color="auto" w:fill="FFFFFF"/>
            <w:noWrap w:val="0"/>
            <w:vAlign w:val="center"/>
          </w:tcPr>
          <w:p>
            <w:pPr>
              <w:snapToGrid w:val="0"/>
              <w:spacing w:line="360" w:lineRule="auto"/>
              <w:jc w:val="left"/>
              <w:rPr>
                <w:rFonts w:hint="eastAsia" w:ascii="宋体" w:hAnsi="宋体" w:eastAsia="宋体" w:cs="宋体"/>
                <w:sz w:val="18"/>
                <w:szCs w:val="18"/>
              </w:rPr>
            </w:pPr>
            <w:r>
              <w:rPr>
                <w:rFonts w:hint="eastAsia" w:ascii="宋体" w:hAnsi="宋体" w:eastAsia="宋体" w:cs="宋体"/>
                <w:sz w:val="18"/>
                <w:szCs w:val="18"/>
              </w:rPr>
              <w:t>食物中毒等。</w:t>
            </w:r>
          </w:p>
        </w:tc>
        <w:tc>
          <w:tcPr>
            <w:tcW w:w="1455" w:type="dxa"/>
            <w:tcBorders>
              <w:tl2br w:val="nil"/>
              <w:tr2bl w:val="nil"/>
            </w:tcBorders>
            <w:shd w:val="clear" w:color="auto" w:fill="FFFFFF"/>
            <w:noWrap w:val="0"/>
            <w:vAlign w:val="center"/>
          </w:tcPr>
          <w:p>
            <w:pPr>
              <w:snapToGrid w:val="0"/>
              <w:spacing w:line="360" w:lineRule="auto"/>
              <w:rPr>
                <w:rFonts w:hint="eastAsia" w:ascii="宋体" w:hAnsi="宋体" w:eastAsia="宋体" w:cs="宋体"/>
                <w:sz w:val="18"/>
                <w:szCs w:val="18"/>
              </w:rPr>
            </w:pPr>
            <w:r>
              <w:rPr>
                <w:rFonts w:hint="eastAsia" w:ascii="宋体" w:hAnsi="宋体" w:eastAsia="宋体" w:cs="宋体"/>
                <w:sz w:val="18"/>
                <w:szCs w:val="18"/>
              </w:rPr>
              <w:t>《中华人民共和国国家职业卫生标准》《餐饮服务许可管理办法》</w:t>
            </w:r>
          </w:p>
        </w:tc>
        <w:tc>
          <w:tcPr>
            <w:tcW w:w="1940" w:type="dxa"/>
            <w:tcBorders>
              <w:tl2br w:val="nil"/>
              <w:tr2bl w:val="nil"/>
            </w:tcBorders>
            <w:shd w:val="clear" w:color="auto" w:fill="FFFFFF"/>
            <w:noWrap w:val="0"/>
            <w:vAlign w:val="center"/>
          </w:tcPr>
          <w:p>
            <w:pPr>
              <w:snapToGrid w:val="0"/>
              <w:spacing w:line="360" w:lineRule="auto"/>
              <w:rPr>
                <w:rFonts w:hint="eastAsia" w:ascii="宋体" w:hAnsi="宋体" w:eastAsia="宋体" w:cs="宋体"/>
                <w:sz w:val="18"/>
                <w:szCs w:val="18"/>
              </w:rPr>
            </w:pPr>
          </w:p>
        </w:tc>
        <w:tc>
          <w:tcPr>
            <w:tcW w:w="1022" w:type="dxa"/>
            <w:tcBorders>
              <w:tl2br w:val="nil"/>
              <w:tr2bl w:val="nil"/>
            </w:tcBorders>
            <w:shd w:val="clear" w:color="auto" w:fill="FFFFFF"/>
            <w:noWrap w:val="0"/>
            <w:vAlign w:val="center"/>
          </w:tcPr>
          <w:p>
            <w:pPr>
              <w:snapToGrid w:val="0"/>
              <w:spacing w:line="360" w:lineRule="auto"/>
              <w:jc w:val="left"/>
              <w:rPr>
                <w:rFonts w:hint="eastAsia" w:ascii="宋体" w:hAnsi="宋体" w:eastAsia="宋体" w:cs="宋体"/>
                <w:sz w:val="18"/>
                <w:szCs w:val="18"/>
              </w:rPr>
            </w:pPr>
            <w:r>
              <w:rPr>
                <w:rFonts w:hint="eastAsia" w:ascii="宋体" w:hAnsi="宋体" w:eastAsia="宋体" w:cs="宋体"/>
                <w:sz w:val="18"/>
                <w:szCs w:val="18"/>
              </w:rPr>
              <w:t>疾病预防控制中心、卫生监督部门检查。</w:t>
            </w:r>
          </w:p>
        </w:tc>
        <w:tc>
          <w:tcPr>
            <w:tcW w:w="2194" w:type="dxa"/>
            <w:tcBorders>
              <w:tl2br w:val="nil"/>
              <w:tr2bl w:val="nil"/>
            </w:tcBorders>
            <w:shd w:val="clear" w:color="auto" w:fill="FFFFFF"/>
            <w:noWrap w:val="0"/>
            <w:vAlign w:val="center"/>
          </w:tcPr>
          <w:p>
            <w:pPr>
              <w:snapToGrid w:val="0"/>
              <w:spacing w:line="360" w:lineRule="auto"/>
              <w:rPr>
                <w:rFonts w:hint="eastAsia" w:ascii="宋体" w:hAnsi="宋体" w:eastAsia="宋体" w:cs="宋体"/>
                <w:sz w:val="18"/>
                <w:szCs w:val="18"/>
              </w:rPr>
            </w:pPr>
            <w:r>
              <w:rPr>
                <w:rFonts w:hint="eastAsia" w:ascii="宋体" w:hAnsi="宋体" w:eastAsia="宋体" w:cs="宋体"/>
                <w:sz w:val="18"/>
                <w:szCs w:val="18"/>
              </w:rPr>
              <w:t>员工定期体检；采购的食品符合卫生标准；劳保用品的发放；危害点的治理改造；食堂员工持健康证上岗</w:t>
            </w:r>
          </w:p>
        </w:tc>
      </w:tr>
    </w:tbl>
    <w:p>
      <w:pPr>
        <w:adjustRightInd w:val="0"/>
        <w:spacing w:line="360" w:lineRule="auto"/>
        <w:ind w:firstLine="480" w:firstLineChars="200"/>
        <w:rPr>
          <w:rFonts w:ascii="宋体" w:hAnsi="宋体"/>
          <w:sz w:val="24"/>
        </w:rPr>
      </w:pPr>
      <w:r>
        <w:rPr>
          <w:rFonts w:ascii="宋体" w:hAnsi="宋体"/>
          <w:sz w:val="24"/>
        </w:rPr>
        <w:t>公司非常关注自身产品、服务及运营方面对未来</w:t>
      </w:r>
      <w:r>
        <w:rPr>
          <w:rFonts w:hint="eastAsia" w:ascii="宋体" w:hAnsi="宋体"/>
          <w:sz w:val="24"/>
        </w:rPr>
        <w:t>质量安全、</w:t>
      </w:r>
      <w:r>
        <w:rPr>
          <w:rFonts w:ascii="宋体" w:hAnsi="宋体"/>
          <w:sz w:val="24"/>
        </w:rPr>
        <w:t>环境、能源消耗、资源综合利用</w:t>
      </w:r>
      <w:r>
        <w:rPr>
          <w:rFonts w:hint="eastAsia" w:ascii="宋体" w:hAnsi="宋体"/>
          <w:sz w:val="24"/>
        </w:rPr>
        <w:t>以及公共卫生</w:t>
      </w:r>
      <w:r>
        <w:rPr>
          <w:rFonts w:ascii="宋体" w:hAnsi="宋体"/>
          <w:sz w:val="24"/>
        </w:rPr>
        <w:t>等方面可能存在的公众隐忧，积极研究对策并预先做出应对准备。</w:t>
      </w:r>
      <w:r>
        <w:rPr>
          <w:rFonts w:hint="eastAsia" w:ascii="宋体" w:hAnsi="宋体"/>
          <w:sz w:val="24"/>
        </w:rPr>
        <w:t>具体见下表：</w:t>
      </w:r>
    </w:p>
    <w:p>
      <w:pPr>
        <w:adjustRightInd w:val="0"/>
        <w:spacing w:line="360" w:lineRule="auto"/>
        <w:jc w:val="center"/>
        <w:rPr>
          <w:rFonts w:ascii="宋体" w:hAnsi="宋体"/>
          <w:szCs w:val="21"/>
        </w:rPr>
      </w:pPr>
      <w:r>
        <w:rPr>
          <w:rFonts w:hint="eastAsia" w:ascii="宋体" w:hAnsi="宋体"/>
          <w:b/>
          <w:szCs w:val="21"/>
        </w:rPr>
        <w:t>对公众和环境的隐忧预见及应对</w:t>
      </w:r>
    </w:p>
    <w:tbl>
      <w:tblPr>
        <w:tblStyle w:val="35"/>
        <w:tblpPr w:leftFromText="180" w:rightFromText="180" w:vertAnchor="text" w:horzAnchor="page" w:tblpX="1474" w:tblpY="482"/>
        <w:tblOverlap w:val="never"/>
        <w:tblW w:w="0" w:type="auto"/>
        <w:tblInd w:w="0" w:type="dxa"/>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Layout w:type="fixed"/>
        <w:tblCellMar>
          <w:top w:w="28" w:type="dxa"/>
          <w:left w:w="108" w:type="dxa"/>
          <w:bottom w:w="28" w:type="dxa"/>
          <w:right w:w="108" w:type="dxa"/>
        </w:tblCellMar>
      </w:tblPr>
      <w:tblGrid>
        <w:gridCol w:w="1344"/>
        <w:gridCol w:w="2660"/>
        <w:gridCol w:w="5170"/>
      </w:tblGrid>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28" w:type="dxa"/>
            <w:left w:w="108" w:type="dxa"/>
            <w:bottom w:w="28" w:type="dxa"/>
            <w:right w:w="108" w:type="dxa"/>
          </w:tblCellMar>
        </w:tblPrEx>
        <w:trPr>
          <w:wBefore w:w="0" w:type="dxa"/>
          <w:wAfter w:w="0" w:type="dxa"/>
          <w:cantSplit/>
          <w:trHeight w:val="328" w:hRule="atLeast"/>
          <w:tblHeader/>
        </w:trPr>
        <w:tc>
          <w:tcPr>
            <w:tcW w:w="1344" w:type="dxa"/>
            <w:tcBorders>
              <w:tl2br w:val="nil"/>
              <w:tr2bl w:val="nil"/>
            </w:tcBorders>
            <w:noWrap w:val="0"/>
            <w:vAlign w:val="top"/>
          </w:tcPr>
          <w:p>
            <w:pPr>
              <w:adjustRightInd w:val="0"/>
              <w:spacing w:line="360" w:lineRule="auto"/>
              <w:jc w:val="center"/>
              <w:rPr>
                <w:rFonts w:hint="eastAsia" w:ascii="宋体" w:hAnsi="宋体" w:eastAsia="宋体" w:cs="宋体"/>
                <w:b/>
                <w:sz w:val="18"/>
                <w:szCs w:val="18"/>
              </w:rPr>
            </w:pPr>
            <w:r>
              <w:rPr>
                <w:rFonts w:hint="eastAsia" w:ascii="宋体" w:hAnsi="宋体" w:eastAsia="宋体" w:cs="宋体"/>
                <w:b/>
                <w:sz w:val="18"/>
                <w:szCs w:val="18"/>
              </w:rPr>
              <w:t>公众隐忧</w:t>
            </w:r>
          </w:p>
        </w:tc>
        <w:tc>
          <w:tcPr>
            <w:tcW w:w="2660" w:type="dxa"/>
            <w:tcBorders>
              <w:tl2br w:val="nil"/>
              <w:tr2bl w:val="nil"/>
            </w:tcBorders>
            <w:noWrap w:val="0"/>
            <w:vAlign w:val="top"/>
          </w:tcPr>
          <w:p>
            <w:pPr>
              <w:adjustRightInd w:val="0"/>
              <w:spacing w:line="360" w:lineRule="auto"/>
              <w:jc w:val="center"/>
              <w:rPr>
                <w:rFonts w:hint="eastAsia" w:ascii="宋体" w:hAnsi="宋体" w:eastAsia="宋体" w:cs="宋体"/>
                <w:b/>
                <w:sz w:val="18"/>
                <w:szCs w:val="18"/>
              </w:rPr>
            </w:pPr>
            <w:r>
              <w:rPr>
                <w:rFonts w:hint="eastAsia" w:ascii="宋体" w:hAnsi="宋体" w:eastAsia="宋体" w:cs="宋体"/>
                <w:b/>
                <w:sz w:val="18"/>
                <w:szCs w:val="18"/>
              </w:rPr>
              <w:t>产生原因</w:t>
            </w:r>
          </w:p>
        </w:tc>
        <w:tc>
          <w:tcPr>
            <w:tcW w:w="5170" w:type="dxa"/>
            <w:tcBorders>
              <w:tl2br w:val="nil"/>
              <w:tr2bl w:val="nil"/>
            </w:tcBorders>
            <w:noWrap w:val="0"/>
            <w:vAlign w:val="top"/>
          </w:tcPr>
          <w:p>
            <w:pPr>
              <w:adjustRightInd w:val="0"/>
              <w:spacing w:line="360" w:lineRule="auto"/>
              <w:jc w:val="center"/>
              <w:rPr>
                <w:rFonts w:hint="eastAsia" w:ascii="宋体" w:hAnsi="宋体" w:eastAsia="宋体" w:cs="宋体"/>
                <w:b/>
                <w:sz w:val="18"/>
                <w:szCs w:val="18"/>
              </w:rPr>
            </w:pPr>
            <w:r>
              <w:rPr>
                <w:rFonts w:hint="eastAsia" w:ascii="宋体" w:hAnsi="宋体" w:eastAsia="宋体" w:cs="宋体"/>
                <w:b/>
                <w:sz w:val="18"/>
                <w:szCs w:val="18"/>
              </w:rPr>
              <w:t>应对措施</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28" w:type="dxa"/>
            <w:left w:w="108" w:type="dxa"/>
            <w:bottom w:w="28" w:type="dxa"/>
            <w:right w:w="108" w:type="dxa"/>
          </w:tblCellMar>
        </w:tblPrEx>
        <w:trPr>
          <w:wBefore w:w="0" w:type="dxa"/>
          <w:wAfter w:w="0" w:type="dxa"/>
          <w:cantSplit/>
          <w:trHeight w:val="328" w:hRule="atLeast"/>
        </w:trPr>
        <w:tc>
          <w:tcPr>
            <w:tcW w:w="1344" w:type="dxa"/>
            <w:tcBorders>
              <w:tl2br w:val="nil"/>
              <w:tr2bl w:val="nil"/>
            </w:tcBorders>
            <w:shd w:val="clear" w:color="auto" w:fill="FFFFFF"/>
            <w:noWrap w:val="0"/>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环境污染</w:t>
            </w:r>
          </w:p>
        </w:tc>
        <w:tc>
          <w:tcPr>
            <w:tcW w:w="2660" w:type="dxa"/>
            <w:tcBorders>
              <w:tl2br w:val="nil"/>
              <w:tr2bl w:val="nil"/>
            </w:tcBorders>
            <w:shd w:val="clear" w:color="auto" w:fill="FFFFFF"/>
            <w:noWrap w:val="0"/>
            <w:vAlign w:val="center"/>
          </w:tcPr>
          <w:p>
            <w:pPr>
              <w:spacing w:line="360" w:lineRule="auto"/>
              <w:rPr>
                <w:rFonts w:hint="eastAsia" w:ascii="宋体" w:hAnsi="宋体" w:eastAsia="宋体" w:cs="宋体"/>
                <w:sz w:val="18"/>
                <w:szCs w:val="18"/>
              </w:rPr>
            </w:pPr>
            <w:r>
              <w:rPr>
                <w:rFonts w:hint="eastAsia" w:ascii="宋体" w:hAnsi="宋体" w:eastAsia="宋体" w:cs="宋体"/>
                <w:sz w:val="18"/>
                <w:szCs w:val="18"/>
              </w:rPr>
              <w:t xml:space="preserve">设备不正常运转产生噪声；员工生活、生产过程产生废水、废气； </w:t>
            </w:r>
          </w:p>
        </w:tc>
        <w:tc>
          <w:tcPr>
            <w:tcW w:w="5170" w:type="dxa"/>
            <w:tcBorders>
              <w:tl2br w:val="nil"/>
              <w:tr2bl w:val="nil"/>
            </w:tcBorders>
            <w:shd w:val="clear" w:color="auto" w:fill="FFFFFF"/>
            <w:noWrap w:val="0"/>
            <w:vAlign w:val="top"/>
          </w:tcPr>
          <w:p>
            <w:pPr>
              <w:spacing w:line="360" w:lineRule="auto"/>
              <w:rPr>
                <w:rFonts w:hint="eastAsia" w:ascii="宋体" w:hAnsi="宋体" w:eastAsia="宋体" w:cs="宋体"/>
                <w:sz w:val="18"/>
                <w:szCs w:val="18"/>
              </w:rPr>
            </w:pPr>
            <w:r>
              <w:rPr>
                <w:rFonts w:hint="eastAsia" w:ascii="宋体" w:hAnsi="宋体" w:eastAsia="宋体" w:cs="宋体"/>
                <w:sz w:val="18"/>
                <w:szCs w:val="18"/>
              </w:rPr>
              <w:t>1、导入清洁生产，从分析工艺流程和物料平衡开始，确定废弃物产生的部位，分析原因，改进工艺与设备，减少固废的产生和减轻影响环境程度，符合环境监测各项指标；</w:t>
            </w:r>
          </w:p>
          <w:p>
            <w:pPr>
              <w:spacing w:line="360" w:lineRule="auto"/>
              <w:rPr>
                <w:rFonts w:hint="eastAsia" w:ascii="宋体" w:hAnsi="宋体" w:eastAsia="宋体" w:cs="宋体"/>
                <w:sz w:val="18"/>
                <w:szCs w:val="18"/>
              </w:rPr>
            </w:pPr>
            <w:r>
              <w:rPr>
                <w:rFonts w:hint="eastAsia" w:ascii="宋体" w:hAnsi="宋体" w:eastAsia="宋体" w:cs="宋体"/>
                <w:sz w:val="18"/>
                <w:szCs w:val="18"/>
              </w:rPr>
              <w:t>2、按时足量发放劳保用品，并对重点部位进行技术改造和工艺改进；</w:t>
            </w:r>
          </w:p>
          <w:p>
            <w:pPr>
              <w:spacing w:line="360" w:lineRule="auto"/>
              <w:rPr>
                <w:rFonts w:hint="eastAsia" w:ascii="宋体" w:hAnsi="宋体" w:eastAsia="宋体" w:cs="宋体"/>
                <w:sz w:val="18"/>
                <w:szCs w:val="18"/>
              </w:rPr>
            </w:pPr>
            <w:r>
              <w:rPr>
                <w:rFonts w:hint="eastAsia" w:ascii="宋体" w:hAnsi="宋体" w:eastAsia="宋体" w:cs="宋体"/>
                <w:sz w:val="18"/>
                <w:szCs w:val="18"/>
              </w:rPr>
              <w:t>3、对所有工厂进行了通风设施改造，加强车间通风。</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28" w:type="dxa"/>
            <w:left w:w="108" w:type="dxa"/>
            <w:bottom w:w="28" w:type="dxa"/>
            <w:right w:w="108" w:type="dxa"/>
          </w:tblCellMar>
        </w:tblPrEx>
        <w:trPr>
          <w:wBefore w:w="0" w:type="dxa"/>
          <w:wAfter w:w="0" w:type="dxa"/>
          <w:cantSplit/>
          <w:trHeight w:val="328" w:hRule="atLeast"/>
        </w:trPr>
        <w:tc>
          <w:tcPr>
            <w:tcW w:w="1344" w:type="dxa"/>
            <w:tcBorders>
              <w:tl2br w:val="nil"/>
              <w:tr2bl w:val="nil"/>
            </w:tcBorders>
            <w:shd w:val="clear" w:color="auto" w:fill="FFFFFF"/>
            <w:noWrap w:val="0"/>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能源消耗</w:t>
            </w:r>
          </w:p>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资源综合利用</w:t>
            </w:r>
          </w:p>
        </w:tc>
        <w:tc>
          <w:tcPr>
            <w:tcW w:w="2660" w:type="dxa"/>
            <w:tcBorders>
              <w:tl2br w:val="nil"/>
              <w:tr2bl w:val="nil"/>
            </w:tcBorders>
            <w:shd w:val="clear" w:color="auto" w:fill="FFFFFF"/>
            <w:noWrap w:val="0"/>
            <w:vAlign w:val="center"/>
          </w:tcPr>
          <w:p>
            <w:pPr>
              <w:spacing w:line="360" w:lineRule="auto"/>
              <w:rPr>
                <w:rFonts w:hint="eastAsia" w:ascii="宋体" w:hAnsi="宋体" w:eastAsia="宋体" w:cs="宋体"/>
                <w:sz w:val="18"/>
                <w:szCs w:val="18"/>
              </w:rPr>
            </w:pPr>
            <w:r>
              <w:rPr>
                <w:rFonts w:hint="eastAsia" w:ascii="宋体" w:hAnsi="宋体" w:eastAsia="宋体" w:cs="宋体"/>
                <w:sz w:val="18"/>
                <w:szCs w:val="18"/>
              </w:rPr>
              <w:t>电力等资源紧缺，会造成能源价格上涨，导致产品成本提高等。</w:t>
            </w:r>
          </w:p>
        </w:tc>
        <w:tc>
          <w:tcPr>
            <w:tcW w:w="5170" w:type="dxa"/>
            <w:tcBorders>
              <w:tl2br w:val="nil"/>
              <w:tr2bl w:val="nil"/>
            </w:tcBorders>
            <w:shd w:val="clear" w:color="auto" w:fill="FFFFFF"/>
            <w:noWrap w:val="0"/>
            <w:vAlign w:val="top"/>
          </w:tcPr>
          <w:p>
            <w:pPr>
              <w:spacing w:line="360" w:lineRule="auto"/>
              <w:rPr>
                <w:rFonts w:hint="eastAsia" w:ascii="宋体" w:hAnsi="宋体" w:eastAsia="宋体" w:cs="宋体"/>
                <w:sz w:val="18"/>
                <w:szCs w:val="18"/>
              </w:rPr>
            </w:pPr>
            <w:r>
              <w:rPr>
                <w:rFonts w:hint="eastAsia" w:ascii="宋体" w:hAnsi="宋体" w:eastAsia="宋体" w:cs="宋体"/>
                <w:sz w:val="18"/>
                <w:szCs w:val="18"/>
              </w:rPr>
              <w:t>1、导入清洁生产降低能源消耗；</w:t>
            </w:r>
          </w:p>
          <w:p>
            <w:pPr>
              <w:spacing w:line="360" w:lineRule="auto"/>
              <w:rPr>
                <w:rFonts w:hint="eastAsia" w:ascii="宋体" w:hAnsi="宋体" w:eastAsia="宋体" w:cs="宋体"/>
                <w:sz w:val="18"/>
                <w:szCs w:val="18"/>
              </w:rPr>
            </w:pPr>
            <w:r>
              <w:rPr>
                <w:rFonts w:hint="eastAsia" w:ascii="宋体" w:hAnsi="宋体" w:eastAsia="宋体" w:cs="宋体"/>
                <w:sz w:val="18"/>
                <w:szCs w:val="18"/>
              </w:rPr>
              <w:t xml:space="preserve">2、利用峰谷值用电，推广利用节能新技术、新材料、新设备、新工艺； </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28" w:type="dxa"/>
            <w:left w:w="108" w:type="dxa"/>
            <w:bottom w:w="28" w:type="dxa"/>
            <w:right w:w="108" w:type="dxa"/>
          </w:tblCellMar>
        </w:tblPrEx>
        <w:trPr>
          <w:wBefore w:w="0" w:type="dxa"/>
          <w:wAfter w:w="0" w:type="dxa"/>
          <w:cantSplit/>
          <w:trHeight w:val="279" w:hRule="atLeast"/>
        </w:trPr>
        <w:tc>
          <w:tcPr>
            <w:tcW w:w="1344" w:type="dxa"/>
            <w:tcBorders>
              <w:tl2br w:val="nil"/>
              <w:tr2bl w:val="nil"/>
            </w:tcBorders>
            <w:shd w:val="clear" w:color="auto" w:fill="FFFFFF"/>
            <w:noWrap w:val="0"/>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安全生产</w:t>
            </w:r>
          </w:p>
        </w:tc>
        <w:tc>
          <w:tcPr>
            <w:tcW w:w="2660" w:type="dxa"/>
            <w:tcBorders>
              <w:tl2br w:val="nil"/>
              <w:tr2bl w:val="nil"/>
            </w:tcBorders>
            <w:shd w:val="clear" w:color="auto" w:fill="FFFFFF"/>
            <w:noWrap w:val="0"/>
            <w:vAlign w:val="center"/>
          </w:tcPr>
          <w:p>
            <w:pPr>
              <w:spacing w:line="360" w:lineRule="auto"/>
              <w:rPr>
                <w:rFonts w:hint="eastAsia" w:ascii="宋体" w:hAnsi="宋体" w:eastAsia="宋体" w:cs="宋体"/>
                <w:sz w:val="18"/>
                <w:szCs w:val="18"/>
              </w:rPr>
            </w:pPr>
            <w:r>
              <w:rPr>
                <w:rFonts w:hint="eastAsia" w:ascii="宋体" w:hAnsi="宋体" w:eastAsia="宋体" w:cs="宋体"/>
                <w:sz w:val="18"/>
                <w:szCs w:val="18"/>
              </w:rPr>
              <w:t>火灾；危险品的燃烧、爆炸；电力的触电等安全隐患。</w:t>
            </w:r>
          </w:p>
        </w:tc>
        <w:tc>
          <w:tcPr>
            <w:tcW w:w="5170" w:type="dxa"/>
            <w:tcBorders>
              <w:tl2br w:val="nil"/>
              <w:tr2bl w:val="nil"/>
            </w:tcBorders>
            <w:shd w:val="clear" w:color="auto" w:fill="FFFFFF"/>
            <w:noWrap w:val="0"/>
            <w:vAlign w:val="top"/>
          </w:tcPr>
          <w:p>
            <w:pPr>
              <w:spacing w:line="360" w:lineRule="auto"/>
              <w:rPr>
                <w:rFonts w:hint="eastAsia" w:ascii="宋体" w:hAnsi="宋体" w:eastAsia="宋体" w:cs="宋体"/>
                <w:sz w:val="18"/>
                <w:szCs w:val="18"/>
              </w:rPr>
            </w:pPr>
            <w:r>
              <w:rPr>
                <w:rFonts w:hint="eastAsia" w:ascii="宋体" w:hAnsi="宋体" w:eastAsia="宋体" w:cs="宋体"/>
                <w:sz w:val="18"/>
                <w:szCs w:val="18"/>
              </w:rPr>
              <w:t>1、严格执行《</w:t>
            </w:r>
            <w:r>
              <w:rPr>
                <w:rFonts w:hint="eastAsia" w:ascii="宋体" w:hAnsi="宋体" w:eastAsia="宋体" w:cs="宋体"/>
                <w:sz w:val="18"/>
                <w:szCs w:val="18"/>
                <w:lang w:val="en-US" w:eastAsia="zh-CN"/>
              </w:rPr>
              <w:t>安全管理制度</w:t>
            </w:r>
            <w:r>
              <w:rPr>
                <w:rFonts w:hint="eastAsia" w:ascii="宋体" w:hAnsi="宋体" w:eastAsia="宋体" w:cs="宋体"/>
                <w:sz w:val="18"/>
                <w:szCs w:val="18"/>
              </w:rPr>
              <w:t>》，实行安全管理绩效考核；2、一旦发生突发事件立即启动《突发环境事件应急预案》。</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28" w:type="dxa"/>
            <w:left w:w="108" w:type="dxa"/>
            <w:bottom w:w="28" w:type="dxa"/>
            <w:right w:w="108" w:type="dxa"/>
          </w:tblCellMar>
        </w:tblPrEx>
        <w:trPr>
          <w:wBefore w:w="0" w:type="dxa"/>
          <w:wAfter w:w="0" w:type="dxa"/>
          <w:cantSplit/>
          <w:trHeight w:val="2141" w:hRule="atLeast"/>
        </w:trPr>
        <w:tc>
          <w:tcPr>
            <w:tcW w:w="1344" w:type="dxa"/>
            <w:tcBorders>
              <w:tl2br w:val="nil"/>
              <w:tr2bl w:val="nil"/>
            </w:tcBorders>
            <w:shd w:val="clear" w:color="auto" w:fill="FFFFFF"/>
            <w:noWrap w:val="0"/>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产品安全</w:t>
            </w:r>
          </w:p>
        </w:tc>
        <w:tc>
          <w:tcPr>
            <w:tcW w:w="2660" w:type="dxa"/>
            <w:tcBorders>
              <w:tl2br w:val="nil"/>
              <w:tr2bl w:val="nil"/>
            </w:tcBorders>
            <w:shd w:val="clear" w:color="auto" w:fill="FFFFFF"/>
            <w:noWrap w:val="0"/>
            <w:vAlign w:val="center"/>
          </w:tcPr>
          <w:p>
            <w:pPr>
              <w:spacing w:line="360" w:lineRule="auto"/>
              <w:rPr>
                <w:rFonts w:hint="eastAsia" w:ascii="宋体" w:hAnsi="宋体" w:eastAsia="宋体" w:cs="宋体"/>
                <w:sz w:val="18"/>
                <w:szCs w:val="18"/>
              </w:rPr>
            </w:pPr>
            <w:r>
              <w:rPr>
                <w:rFonts w:hint="eastAsia" w:ascii="宋体" w:hAnsi="宋体" w:eastAsia="宋体" w:cs="宋体"/>
                <w:sz w:val="18"/>
                <w:szCs w:val="18"/>
              </w:rPr>
              <w:t>火灾、触电时直接关系到人的生命和财产安全；产品含有有害元素</w:t>
            </w:r>
          </w:p>
        </w:tc>
        <w:tc>
          <w:tcPr>
            <w:tcW w:w="5170" w:type="dxa"/>
            <w:tcBorders>
              <w:tl2br w:val="nil"/>
              <w:tr2bl w:val="nil"/>
            </w:tcBorders>
            <w:shd w:val="clear" w:color="auto" w:fill="FFFFFF"/>
            <w:noWrap w:val="0"/>
            <w:vAlign w:val="top"/>
          </w:tcPr>
          <w:p>
            <w:pPr>
              <w:spacing w:line="360" w:lineRule="auto"/>
              <w:rPr>
                <w:rFonts w:hint="eastAsia" w:ascii="宋体" w:hAnsi="宋体" w:eastAsia="宋体" w:cs="宋体"/>
                <w:sz w:val="18"/>
                <w:szCs w:val="18"/>
              </w:rPr>
            </w:pPr>
            <w:r>
              <w:rPr>
                <w:rFonts w:hint="eastAsia" w:ascii="宋体" w:hAnsi="宋体" w:eastAsia="宋体" w:cs="宋体"/>
                <w:sz w:val="18"/>
                <w:szCs w:val="18"/>
              </w:rPr>
              <w:t>1、专门设立品质部。实施质量管理、实施质量监督和考核；</w:t>
            </w:r>
          </w:p>
          <w:p>
            <w:pPr>
              <w:spacing w:line="360" w:lineRule="auto"/>
              <w:rPr>
                <w:rFonts w:hint="eastAsia" w:ascii="宋体" w:hAnsi="宋体" w:eastAsia="宋体" w:cs="宋体"/>
                <w:sz w:val="18"/>
                <w:szCs w:val="18"/>
              </w:rPr>
            </w:pPr>
            <w:r>
              <w:rPr>
                <w:rFonts w:hint="eastAsia" w:ascii="宋体" w:hAnsi="宋体" w:eastAsia="宋体" w:cs="宋体"/>
                <w:sz w:val="18"/>
                <w:szCs w:val="18"/>
              </w:rPr>
              <w:t>2、通过各种认证体系；</w:t>
            </w:r>
          </w:p>
          <w:p>
            <w:pPr>
              <w:spacing w:line="360" w:lineRule="auto"/>
              <w:rPr>
                <w:rFonts w:hint="eastAsia" w:ascii="宋体" w:hAnsi="宋体" w:eastAsia="宋体" w:cs="宋体"/>
                <w:sz w:val="18"/>
                <w:szCs w:val="18"/>
              </w:rPr>
            </w:pPr>
            <w:r>
              <w:rPr>
                <w:rFonts w:hint="eastAsia" w:ascii="宋体" w:hAnsi="宋体" w:eastAsia="宋体" w:cs="宋体"/>
                <w:sz w:val="18"/>
                <w:szCs w:val="18"/>
              </w:rPr>
              <w:t>3、通过内部审核、管理评审、第三方跟踪审核，确保质量管理体系有效运行和持续改进等。</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28" w:type="dxa"/>
            <w:left w:w="108" w:type="dxa"/>
            <w:bottom w:w="28" w:type="dxa"/>
            <w:right w:w="108" w:type="dxa"/>
          </w:tblCellMar>
        </w:tblPrEx>
        <w:trPr>
          <w:wBefore w:w="0" w:type="dxa"/>
          <w:wAfter w:w="0" w:type="dxa"/>
          <w:cantSplit/>
          <w:trHeight w:val="2713" w:hRule="atLeast"/>
        </w:trPr>
        <w:tc>
          <w:tcPr>
            <w:tcW w:w="1344" w:type="dxa"/>
            <w:tcBorders>
              <w:tl2br w:val="nil"/>
              <w:tr2bl w:val="nil"/>
            </w:tcBorders>
            <w:shd w:val="clear" w:color="auto" w:fill="FFFFFF"/>
            <w:noWrap w:val="0"/>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公共卫生</w:t>
            </w:r>
          </w:p>
        </w:tc>
        <w:tc>
          <w:tcPr>
            <w:tcW w:w="2660" w:type="dxa"/>
            <w:tcBorders>
              <w:tl2br w:val="nil"/>
              <w:tr2bl w:val="nil"/>
            </w:tcBorders>
            <w:shd w:val="clear" w:color="auto" w:fill="FFFFFF"/>
            <w:noWrap w:val="0"/>
            <w:vAlign w:val="center"/>
          </w:tcPr>
          <w:p>
            <w:pPr>
              <w:spacing w:line="360" w:lineRule="auto"/>
              <w:rPr>
                <w:rFonts w:hint="eastAsia" w:ascii="宋体" w:hAnsi="宋体" w:eastAsia="宋体" w:cs="宋体"/>
                <w:sz w:val="18"/>
                <w:szCs w:val="18"/>
              </w:rPr>
            </w:pPr>
            <w:r>
              <w:rPr>
                <w:rFonts w:hint="eastAsia" w:ascii="宋体" w:hAnsi="宋体" w:eastAsia="宋体" w:cs="宋体"/>
                <w:sz w:val="18"/>
                <w:szCs w:val="18"/>
              </w:rPr>
              <w:t>潜在职业病，生活垃圾，固废的污染等。</w:t>
            </w:r>
          </w:p>
        </w:tc>
        <w:tc>
          <w:tcPr>
            <w:tcW w:w="5170" w:type="dxa"/>
            <w:tcBorders>
              <w:tl2br w:val="nil"/>
              <w:tr2bl w:val="nil"/>
            </w:tcBorders>
            <w:shd w:val="clear" w:color="auto" w:fill="FFFFFF"/>
            <w:noWrap w:val="0"/>
            <w:vAlign w:val="top"/>
          </w:tcPr>
          <w:p>
            <w:pPr>
              <w:spacing w:line="360" w:lineRule="auto"/>
              <w:rPr>
                <w:rFonts w:hint="eastAsia" w:ascii="宋体" w:hAnsi="宋体" w:eastAsia="宋体" w:cs="宋体"/>
                <w:sz w:val="18"/>
                <w:szCs w:val="18"/>
              </w:rPr>
            </w:pPr>
            <w:r>
              <w:rPr>
                <w:rFonts w:hint="eastAsia" w:ascii="宋体" w:hAnsi="宋体" w:eastAsia="宋体" w:cs="宋体"/>
                <w:sz w:val="18"/>
                <w:szCs w:val="18"/>
              </w:rPr>
              <w:t>1、公司规定每年对特殊岗位员工进行体检；</w:t>
            </w:r>
          </w:p>
          <w:p>
            <w:pPr>
              <w:spacing w:line="360" w:lineRule="auto"/>
              <w:rPr>
                <w:rFonts w:hint="eastAsia" w:ascii="宋体" w:hAnsi="宋体" w:eastAsia="宋体" w:cs="宋体"/>
                <w:sz w:val="18"/>
                <w:szCs w:val="18"/>
              </w:rPr>
            </w:pPr>
            <w:r>
              <w:rPr>
                <w:rFonts w:hint="eastAsia" w:ascii="宋体" w:hAnsi="宋体" w:eastAsia="宋体" w:cs="宋体"/>
                <w:sz w:val="18"/>
                <w:szCs w:val="18"/>
              </w:rPr>
              <w:t>2、公司规定垃圾集中收集运到垃圾中转站，由垃圾处理厂统一处理；</w:t>
            </w:r>
          </w:p>
          <w:p>
            <w:pPr>
              <w:spacing w:line="360" w:lineRule="auto"/>
              <w:rPr>
                <w:rFonts w:hint="eastAsia" w:ascii="宋体" w:hAnsi="宋体" w:eastAsia="宋体" w:cs="宋体"/>
                <w:sz w:val="18"/>
                <w:szCs w:val="18"/>
              </w:rPr>
            </w:pPr>
            <w:r>
              <w:rPr>
                <w:rFonts w:hint="eastAsia" w:ascii="宋体" w:hAnsi="宋体" w:eastAsia="宋体" w:cs="宋体"/>
                <w:sz w:val="18"/>
                <w:szCs w:val="18"/>
              </w:rPr>
              <w:t>3、污水纳入污水管网进公司处理站预处理后再纳入镇污水处理厂处理；</w:t>
            </w:r>
          </w:p>
          <w:p>
            <w:pPr>
              <w:spacing w:line="360" w:lineRule="auto"/>
              <w:rPr>
                <w:rFonts w:hint="eastAsia" w:ascii="宋体" w:hAnsi="宋体" w:eastAsia="宋体" w:cs="宋体"/>
                <w:sz w:val="18"/>
                <w:szCs w:val="18"/>
              </w:rPr>
            </w:pPr>
            <w:r>
              <w:rPr>
                <w:rFonts w:hint="eastAsia" w:ascii="宋体" w:hAnsi="宋体" w:eastAsia="宋体" w:cs="宋体"/>
                <w:sz w:val="18"/>
                <w:szCs w:val="18"/>
              </w:rPr>
              <w:t>4、危险固废统一收集由有资质第三方统一处理。</w:t>
            </w:r>
          </w:p>
        </w:tc>
      </w:tr>
    </w:tbl>
    <w:p>
      <w:pPr>
        <w:pStyle w:val="107"/>
        <w:spacing w:line="360" w:lineRule="auto"/>
        <w:ind w:firstLine="480"/>
        <w:rPr>
          <w:rFonts w:hint="eastAsia" w:ascii="宋体" w:hAnsi="宋体"/>
          <w:color w:val="auto"/>
        </w:rPr>
      </w:pPr>
      <w:r>
        <w:rPr>
          <w:rFonts w:ascii="宋体" w:hAnsi="宋体"/>
          <w:color w:val="auto"/>
        </w:rPr>
        <w:t>公司对产品、服务和运营中</w:t>
      </w:r>
      <w:r>
        <w:rPr>
          <w:rFonts w:hint="eastAsia" w:ascii="宋体" w:hAnsi="宋体"/>
          <w:color w:val="auto"/>
        </w:rPr>
        <w:t>对</w:t>
      </w:r>
      <w:r>
        <w:rPr>
          <w:rFonts w:ascii="宋体" w:hAnsi="宋体"/>
          <w:color w:val="auto"/>
        </w:rPr>
        <w:t>在</w:t>
      </w:r>
      <w:r>
        <w:rPr>
          <w:rFonts w:hint="eastAsia" w:ascii="宋体" w:hAnsi="宋体"/>
          <w:color w:val="auto"/>
        </w:rPr>
        <w:t>质量安全、</w:t>
      </w:r>
      <w:r>
        <w:rPr>
          <w:rFonts w:ascii="宋体" w:hAnsi="宋体"/>
          <w:color w:val="auto"/>
        </w:rPr>
        <w:t>环境保护、</w:t>
      </w:r>
      <w:r>
        <w:rPr>
          <w:rFonts w:hint="eastAsia" w:ascii="宋体" w:hAnsi="宋体"/>
          <w:color w:val="auto"/>
        </w:rPr>
        <w:t>能源节约、资源综合利用、</w:t>
      </w:r>
      <w:r>
        <w:rPr>
          <w:rFonts w:ascii="宋体" w:hAnsi="宋体"/>
          <w:color w:val="auto"/>
        </w:rPr>
        <w:t>安全生产、产品安全、公共卫生等方面进行风险识别，确立目标及测量方法，并在关键过程采取有力措施。</w:t>
      </w:r>
    </w:p>
    <w:p>
      <w:pPr>
        <w:pStyle w:val="107"/>
        <w:spacing w:line="360" w:lineRule="auto"/>
        <w:ind w:firstLine="2941" w:firstLineChars="1400"/>
        <w:rPr>
          <w:rFonts w:ascii="宋体" w:hAnsi="宋体"/>
          <w:b/>
          <w:color w:val="auto"/>
          <w:sz w:val="21"/>
          <w:szCs w:val="21"/>
        </w:rPr>
      </w:pPr>
      <w:r>
        <w:rPr>
          <w:rFonts w:ascii="宋体" w:hAnsi="宋体"/>
          <w:b/>
          <w:color w:val="auto"/>
          <w:sz w:val="21"/>
          <w:szCs w:val="21"/>
        </w:rPr>
        <w:t>公共责任控制措施与指标</w:t>
      </w:r>
    </w:p>
    <w:tbl>
      <w:tblPr>
        <w:tblStyle w:val="35"/>
        <w:tblW w:w="0" w:type="auto"/>
        <w:tblInd w:w="0" w:type="dxa"/>
        <w:tblBorders>
          <w:top w:val="thinThickSmallGap" w:color="C2AA18" w:sz="24" w:space="0"/>
          <w:left w:val="none" w:color="auto" w:sz="0" w:space="0"/>
          <w:bottom w:val="thinThickSmallGap" w:color="C2AA18" w:sz="24" w:space="0"/>
          <w:right w:val="none" w:color="auto" w:sz="0" w:space="0"/>
          <w:insideH w:val="single" w:color="C2AA18" w:sz="4" w:space="0"/>
          <w:insideV w:val="single" w:color="C2AA18" w:sz="4" w:space="0"/>
        </w:tblBorders>
        <w:tblLayout w:type="fixed"/>
        <w:tblCellMar>
          <w:top w:w="0" w:type="dxa"/>
          <w:left w:w="108" w:type="dxa"/>
          <w:bottom w:w="0" w:type="dxa"/>
          <w:right w:w="108" w:type="dxa"/>
        </w:tblCellMar>
      </w:tblPr>
      <w:tblGrid>
        <w:gridCol w:w="1185"/>
        <w:gridCol w:w="1602"/>
        <w:gridCol w:w="2673"/>
        <w:gridCol w:w="2303"/>
        <w:gridCol w:w="1411"/>
      </w:tblGrid>
      <w:tr>
        <w:tblPrEx>
          <w:tblBorders>
            <w:top w:val="thinThickSmallGap" w:color="C2AA18" w:sz="24" w:space="0"/>
            <w:left w:val="none" w:color="auto" w:sz="0" w:space="0"/>
            <w:bottom w:val="thinThickSmallGap" w:color="C2AA18" w:sz="24" w:space="0"/>
            <w:right w:val="none" w:color="auto" w:sz="0" w:space="0"/>
            <w:insideH w:val="single" w:color="C2AA18" w:sz="4" w:space="0"/>
            <w:insideV w:val="single" w:color="C2AA18" w:sz="4" w:space="0"/>
          </w:tblBorders>
          <w:tblCellMar>
            <w:top w:w="0" w:type="dxa"/>
            <w:left w:w="108" w:type="dxa"/>
            <w:bottom w:w="0" w:type="dxa"/>
            <w:right w:w="108" w:type="dxa"/>
          </w:tblCellMar>
        </w:tblPrEx>
        <w:trPr>
          <w:wBefore w:w="0" w:type="auto"/>
          <w:wAfter w:w="0" w:type="auto"/>
          <w:cantSplit/>
          <w:tblHeader/>
        </w:trPr>
        <w:tc>
          <w:tcPr>
            <w:tcW w:w="1185" w:type="dxa"/>
            <w:tcBorders>
              <w:tl2br w:val="nil"/>
              <w:tr2bl w:val="nil"/>
            </w:tcBorders>
            <w:noWrap w:val="0"/>
            <w:vAlign w:val="center"/>
          </w:tcPr>
          <w:p>
            <w:pPr>
              <w:adjustRightInd w:val="0"/>
              <w:spacing w:line="360" w:lineRule="auto"/>
              <w:jc w:val="center"/>
              <w:rPr>
                <w:rFonts w:hint="eastAsia" w:ascii="宋体" w:hAnsi="宋体" w:eastAsia="宋体" w:cs="宋体"/>
                <w:sz w:val="18"/>
                <w:szCs w:val="18"/>
              </w:rPr>
            </w:pPr>
            <w:r>
              <w:rPr>
                <w:rFonts w:hint="eastAsia" w:ascii="宋体" w:hAnsi="宋体" w:eastAsia="宋体" w:cs="宋体"/>
                <w:b/>
                <w:sz w:val="18"/>
                <w:szCs w:val="18"/>
              </w:rPr>
              <w:t>控制项目</w:t>
            </w:r>
          </w:p>
        </w:tc>
        <w:tc>
          <w:tcPr>
            <w:tcW w:w="1602" w:type="dxa"/>
            <w:tcBorders>
              <w:tl2br w:val="nil"/>
              <w:tr2bl w:val="nil"/>
            </w:tcBorders>
            <w:noWrap w:val="0"/>
            <w:vAlign w:val="center"/>
          </w:tcPr>
          <w:p>
            <w:pPr>
              <w:adjustRightInd w:val="0"/>
              <w:spacing w:line="360" w:lineRule="auto"/>
              <w:jc w:val="center"/>
              <w:rPr>
                <w:rFonts w:hint="eastAsia" w:ascii="宋体" w:hAnsi="宋体" w:eastAsia="宋体" w:cs="宋体"/>
                <w:sz w:val="18"/>
                <w:szCs w:val="18"/>
              </w:rPr>
            </w:pPr>
            <w:r>
              <w:rPr>
                <w:rFonts w:hint="eastAsia" w:ascii="宋体" w:hAnsi="宋体" w:eastAsia="宋体" w:cs="宋体"/>
                <w:b/>
                <w:sz w:val="18"/>
                <w:szCs w:val="18"/>
              </w:rPr>
              <w:t>影响因素</w:t>
            </w:r>
          </w:p>
        </w:tc>
        <w:tc>
          <w:tcPr>
            <w:tcW w:w="2673" w:type="dxa"/>
            <w:tcBorders>
              <w:tl2br w:val="nil"/>
              <w:tr2bl w:val="nil"/>
            </w:tcBorders>
            <w:noWrap w:val="0"/>
            <w:vAlign w:val="center"/>
          </w:tcPr>
          <w:p>
            <w:pPr>
              <w:adjustRightInd w:val="0"/>
              <w:spacing w:line="360" w:lineRule="auto"/>
              <w:jc w:val="center"/>
              <w:rPr>
                <w:rFonts w:hint="eastAsia" w:ascii="宋体" w:hAnsi="宋体" w:eastAsia="宋体" w:cs="宋体"/>
                <w:sz w:val="18"/>
                <w:szCs w:val="18"/>
              </w:rPr>
            </w:pPr>
            <w:r>
              <w:rPr>
                <w:rFonts w:hint="eastAsia" w:ascii="宋体" w:hAnsi="宋体" w:eastAsia="宋体" w:cs="宋体"/>
                <w:b/>
                <w:sz w:val="18"/>
                <w:szCs w:val="18"/>
              </w:rPr>
              <w:t>公司要求</w:t>
            </w:r>
          </w:p>
        </w:tc>
        <w:tc>
          <w:tcPr>
            <w:tcW w:w="2303" w:type="dxa"/>
            <w:tcBorders>
              <w:tl2br w:val="nil"/>
              <w:tr2bl w:val="nil"/>
            </w:tcBorders>
            <w:noWrap w:val="0"/>
            <w:vAlign w:val="center"/>
          </w:tcPr>
          <w:p>
            <w:pPr>
              <w:adjustRightInd w:val="0"/>
              <w:spacing w:line="360" w:lineRule="auto"/>
              <w:jc w:val="center"/>
              <w:rPr>
                <w:rFonts w:hint="eastAsia" w:ascii="宋体" w:hAnsi="宋体" w:eastAsia="宋体" w:cs="宋体"/>
                <w:sz w:val="18"/>
                <w:szCs w:val="18"/>
              </w:rPr>
            </w:pPr>
            <w:r>
              <w:rPr>
                <w:rFonts w:hint="eastAsia" w:ascii="宋体" w:hAnsi="宋体" w:eastAsia="宋体" w:cs="宋体"/>
                <w:b/>
                <w:sz w:val="18"/>
                <w:szCs w:val="18"/>
              </w:rPr>
              <w:t>法律法规要求</w:t>
            </w:r>
          </w:p>
        </w:tc>
        <w:tc>
          <w:tcPr>
            <w:tcW w:w="1411" w:type="dxa"/>
            <w:tcBorders>
              <w:tl2br w:val="nil"/>
              <w:tr2bl w:val="nil"/>
            </w:tcBorders>
            <w:noWrap w:val="0"/>
            <w:vAlign w:val="center"/>
          </w:tcPr>
          <w:p>
            <w:pPr>
              <w:adjustRightInd w:val="0"/>
              <w:spacing w:line="360" w:lineRule="auto"/>
              <w:jc w:val="center"/>
              <w:rPr>
                <w:rFonts w:hint="eastAsia" w:ascii="宋体" w:hAnsi="宋体" w:eastAsia="宋体" w:cs="宋体"/>
                <w:sz w:val="18"/>
                <w:szCs w:val="18"/>
              </w:rPr>
            </w:pPr>
            <w:r>
              <w:rPr>
                <w:rFonts w:hint="eastAsia" w:ascii="宋体" w:hAnsi="宋体" w:eastAsia="宋体" w:cs="宋体"/>
                <w:b/>
                <w:sz w:val="18"/>
                <w:szCs w:val="18"/>
              </w:rPr>
              <w:t>测量方法及过程</w:t>
            </w:r>
          </w:p>
        </w:tc>
      </w:tr>
      <w:tr>
        <w:tblPrEx>
          <w:tblBorders>
            <w:top w:val="thinThickSmallGap" w:color="C2AA18" w:sz="24" w:space="0"/>
            <w:left w:val="none" w:color="auto" w:sz="0" w:space="0"/>
            <w:bottom w:val="thinThickSmallGap" w:color="C2AA18" w:sz="24" w:space="0"/>
            <w:right w:val="none" w:color="auto" w:sz="0" w:space="0"/>
            <w:insideH w:val="single" w:color="C2AA18" w:sz="4" w:space="0"/>
            <w:insideV w:val="single" w:color="C2AA18" w:sz="4" w:space="0"/>
          </w:tblBorders>
        </w:tblPrEx>
        <w:trPr>
          <w:wBefore w:w="0" w:type="auto"/>
          <w:wAfter w:w="0" w:type="auto"/>
        </w:trPr>
        <w:tc>
          <w:tcPr>
            <w:tcW w:w="1185" w:type="dxa"/>
            <w:tcBorders>
              <w:tl2br w:val="nil"/>
              <w:tr2bl w:val="nil"/>
            </w:tcBorders>
            <w:noWrap w:val="0"/>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环境保护</w:t>
            </w:r>
          </w:p>
        </w:tc>
        <w:tc>
          <w:tcPr>
            <w:tcW w:w="1602" w:type="dxa"/>
            <w:tcBorders>
              <w:tl2br w:val="nil"/>
              <w:tr2bl w:val="nil"/>
            </w:tcBorders>
            <w:noWrap w:val="0"/>
            <w:vAlign w:val="center"/>
          </w:tcPr>
          <w:p>
            <w:pPr>
              <w:spacing w:line="360" w:lineRule="auto"/>
              <w:rPr>
                <w:rFonts w:hint="eastAsia" w:ascii="宋体" w:hAnsi="宋体" w:eastAsia="宋体" w:cs="宋体"/>
                <w:sz w:val="18"/>
                <w:szCs w:val="18"/>
              </w:rPr>
            </w:pPr>
            <w:r>
              <w:rPr>
                <w:rFonts w:hint="eastAsia" w:ascii="宋体" w:hAnsi="宋体" w:eastAsia="宋体" w:cs="宋体"/>
                <w:sz w:val="18"/>
                <w:szCs w:val="18"/>
              </w:rPr>
              <w:t>废气、噪声、废水、粉尘等环境污染</w:t>
            </w:r>
          </w:p>
        </w:tc>
        <w:tc>
          <w:tcPr>
            <w:tcW w:w="2673" w:type="dxa"/>
            <w:tcBorders>
              <w:tl2br w:val="nil"/>
              <w:tr2bl w:val="nil"/>
            </w:tcBorders>
            <w:noWrap w:val="0"/>
            <w:vAlign w:val="center"/>
          </w:tcPr>
          <w:p>
            <w:pPr>
              <w:spacing w:line="360" w:lineRule="auto"/>
              <w:rPr>
                <w:rFonts w:hint="eastAsia" w:ascii="宋体" w:hAnsi="宋体" w:eastAsia="宋体" w:cs="宋体"/>
                <w:sz w:val="18"/>
                <w:szCs w:val="18"/>
              </w:rPr>
            </w:pPr>
            <w:r>
              <w:rPr>
                <w:rFonts w:hint="eastAsia" w:ascii="宋体" w:hAnsi="宋体" w:eastAsia="宋体" w:cs="宋体"/>
                <w:sz w:val="18"/>
                <w:szCs w:val="18"/>
              </w:rPr>
              <w:t>废水方面：如pH：6-9；CODcr≤400 mg/L；BOD≤300 mg/L；NH3-N≤35 mg/L。废气排放浓度：非甲烷总烃；噪音方面：3类≤65dB</w:t>
            </w:r>
          </w:p>
        </w:tc>
        <w:tc>
          <w:tcPr>
            <w:tcW w:w="2303" w:type="dxa"/>
            <w:tcBorders>
              <w:tl2br w:val="nil"/>
              <w:tr2bl w:val="nil"/>
            </w:tcBorders>
            <w:noWrap w:val="0"/>
            <w:vAlign w:val="center"/>
          </w:tcPr>
          <w:p>
            <w:pPr>
              <w:spacing w:line="360" w:lineRule="auto"/>
              <w:rPr>
                <w:rFonts w:hint="eastAsia" w:ascii="宋体" w:hAnsi="宋体" w:eastAsia="宋体" w:cs="宋体"/>
                <w:sz w:val="18"/>
                <w:szCs w:val="18"/>
              </w:rPr>
            </w:pPr>
            <w:r>
              <w:rPr>
                <w:rFonts w:hint="eastAsia" w:ascii="宋体" w:hAnsi="宋体" w:eastAsia="宋体" w:cs="宋体"/>
                <w:sz w:val="18"/>
                <w:szCs w:val="18"/>
              </w:rPr>
              <w:t>符合ISO14001管理体系，符合《环境管理体系认证》，《环境保护法》等</w:t>
            </w:r>
          </w:p>
        </w:tc>
        <w:tc>
          <w:tcPr>
            <w:tcW w:w="1411" w:type="dxa"/>
            <w:tcBorders>
              <w:tl2br w:val="nil"/>
              <w:tr2bl w:val="nil"/>
            </w:tcBorders>
            <w:noWrap w:val="0"/>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委托外部检测</w:t>
            </w:r>
          </w:p>
        </w:tc>
      </w:tr>
      <w:tr>
        <w:tblPrEx>
          <w:tblBorders>
            <w:top w:val="thinThickSmallGap" w:color="C2AA18" w:sz="24" w:space="0"/>
            <w:left w:val="none" w:color="auto" w:sz="0" w:space="0"/>
            <w:bottom w:val="thinThickSmallGap" w:color="C2AA18" w:sz="24" w:space="0"/>
            <w:right w:val="none" w:color="auto" w:sz="0" w:space="0"/>
            <w:insideH w:val="single" w:color="C2AA18" w:sz="4" w:space="0"/>
            <w:insideV w:val="single" w:color="C2AA18" w:sz="4" w:space="0"/>
          </w:tblBorders>
          <w:tblCellMar>
            <w:top w:w="0" w:type="dxa"/>
            <w:left w:w="108" w:type="dxa"/>
            <w:bottom w:w="0" w:type="dxa"/>
            <w:right w:w="108" w:type="dxa"/>
          </w:tblCellMar>
        </w:tblPrEx>
        <w:trPr>
          <w:wBefore w:w="0" w:type="auto"/>
          <w:wAfter w:w="0" w:type="auto"/>
        </w:trPr>
        <w:tc>
          <w:tcPr>
            <w:tcW w:w="1185" w:type="dxa"/>
            <w:tcBorders>
              <w:tl2br w:val="nil"/>
              <w:tr2bl w:val="nil"/>
            </w:tcBorders>
            <w:noWrap w:val="0"/>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能源消耗</w:t>
            </w:r>
          </w:p>
        </w:tc>
        <w:tc>
          <w:tcPr>
            <w:tcW w:w="1602" w:type="dxa"/>
            <w:tcBorders>
              <w:tl2br w:val="nil"/>
              <w:tr2bl w:val="nil"/>
            </w:tcBorders>
            <w:noWrap w:val="0"/>
            <w:vAlign w:val="center"/>
          </w:tcPr>
          <w:p>
            <w:pPr>
              <w:spacing w:line="360" w:lineRule="auto"/>
              <w:rPr>
                <w:rFonts w:hint="eastAsia" w:ascii="宋体" w:hAnsi="宋体" w:eastAsia="宋体" w:cs="宋体"/>
                <w:sz w:val="18"/>
                <w:szCs w:val="18"/>
              </w:rPr>
            </w:pPr>
            <w:r>
              <w:rPr>
                <w:rFonts w:hint="eastAsia" w:ascii="宋体" w:hAnsi="宋体" w:eastAsia="宋体" w:cs="宋体"/>
                <w:sz w:val="18"/>
                <w:szCs w:val="18"/>
              </w:rPr>
              <w:t>水，汽、油类，电力等综合能耗</w:t>
            </w:r>
          </w:p>
        </w:tc>
        <w:tc>
          <w:tcPr>
            <w:tcW w:w="2673" w:type="dxa"/>
            <w:tcBorders>
              <w:tl2br w:val="nil"/>
              <w:tr2bl w:val="nil"/>
            </w:tcBorders>
            <w:noWrap w:val="0"/>
            <w:vAlign w:val="center"/>
          </w:tcPr>
          <w:p>
            <w:pPr>
              <w:spacing w:line="360" w:lineRule="auto"/>
              <w:rPr>
                <w:rFonts w:hint="eastAsia" w:ascii="宋体" w:hAnsi="宋体" w:eastAsia="宋体" w:cs="宋体"/>
                <w:sz w:val="18"/>
                <w:szCs w:val="18"/>
              </w:rPr>
            </w:pPr>
            <w:r>
              <w:rPr>
                <w:rFonts w:hint="eastAsia" w:ascii="宋体" w:hAnsi="宋体" w:eastAsia="宋体" w:cs="宋体"/>
                <w:sz w:val="18"/>
                <w:szCs w:val="18"/>
              </w:rPr>
              <w:t>按照公司制定的单位产品能耗为考核指标，落实到各级管理人员进行考核</w:t>
            </w:r>
          </w:p>
        </w:tc>
        <w:tc>
          <w:tcPr>
            <w:tcW w:w="2303" w:type="dxa"/>
            <w:tcBorders>
              <w:tl2br w:val="nil"/>
              <w:tr2bl w:val="nil"/>
            </w:tcBorders>
            <w:noWrap w:val="0"/>
            <w:vAlign w:val="center"/>
          </w:tcPr>
          <w:p>
            <w:pPr>
              <w:spacing w:line="360" w:lineRule="auto"/>
              <w:rPr>
                <w:rFonts w:hint="eastAsia" w:ascii="宋体" w:hAnsi="宋体" w:eastAsia="宋体" w:cs="宋体"/>
                <w:sz w:val="18"/>
                <w:szCs w:val="18"/>
              </w:rPr>
            </w:pPr>
            <w:r>
              <w:rPr>
                <w:rFonts w:hint="eastAsia" w:ascii="宋体" w:hAnsi="宋体" w:eastAsia="宋体" w:cs="宋体"/>
                <w:sz w:val="18"/>
                <w:szCs w:val="18"/>
              </w:rPr>
              <w:t>符合ISO14001管理体系，符合《环境管理体系认证》，《环境保护法》等</w:t>
            </w:r>
          </w:p>
        </w:tc>
        <w:tc>
          <w:tcPr>
            <w:tcW w:w="1411" w:type="dxa"/>
            <w:tcBorders>
              <w:tl2br w:val="nil"/>
              <w:tr2bl w:val="nil"/>
            </w:tcBorders>
            <w:noWrap w:val="0"/>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内部监测</w:t>
            </w:r>
          </w:p>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外包监测</w:t>
            </w:r>
          </w:p>
        </w:tc>
      </w:tr>
      <w:tr>
        <w:tblPrEx>
          <w:tblBorders>
            <w:top w:val="thinThickSmallGap" w:color="C2AA18" w:sz="24" w:space="0"/>
            <w:left w:val="none" w:color="auto" w:sz="0" w:space="0"/>
            <w:bottom w:val="thinThickSmallGap" w:color="C2AA18" w:sz="24" w:space="0"/>
            <w:right w:val="none" w:color="auto" w:sz="0" w:space="0"/>
            <w:insideH w:val="single" w:color="C2AA18" w:sz="4" w:space="0"/>
            <w:insideV w:val="single" w:color="C2AA18" w:sz="4" w:space="0"/>
          </w:tblBorders>
        </w:tblPrEx>
        <w:trPr>
          <w:wBefore w:w="0" w:type="auto"/>
          <w:wAfter w:w="0" w:type="auto"/>
        </w:trPr>
        <w:tc>
          <w:tcPr>
            <w:tcW w:w="1185" w:type="dxa"/>
            <w:tcBorders>
              <w:tl2br w:val="nil"/>
              <w:tr2bl w:val="nil"/>
            </w:tcBorders>
            <w:noWrap w:val="0"/>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能源</w:t>
            </w:r>
          </w:p>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综合利用</w:t>
            </w:r>
          </w:p>
        </w:tc>
        <w:tc>
          <w:tcPr>
            <w:tcW w:w="1602" w:type="dxa"/>
            <w:tcBorders>
              <w:tl2br w:val="nil"/>
              <w:tr2bl w:val="nil"/>
            </w:tcBorders>
            <w:noWrap w:val="0"/>
            <w:vAlign w:val="center"/>
          </w:tcPr>
          <w:p>
            <w:pPr>
              <w:spacing w:line="360" w:lineRule="auto"/>
              <w:rPr>
                <w:rFonts w:hint="eastAsia" w:ascii="宋体" w:hAnsi="宋体" w:eastAsia="宋体" w:cs="宋体"/>
                <w:sz w:val="18"/>
                <w:szCs w:val="18"/>
              </w:rPr>
            </w:pPr>
            <w:r>
              <w:rPr>
                <w:rFonts w:hint="eastAsia" w:ascii="宋体" w:hAnsi="宋体" w:eastAsia="宋体" w:cs="宋体"/>
                <w:sz w:val="18"/>
                <w:szCs w:val="18"/>
              </w:rPr>
              <w:t>电力，水资源紧缺等带来的能源危机</w:t>
            </w:r>
          </w:p>
        </w:tc>
        <w:tc>
          <w:tcPr>
            <w:tcW w:w="2673" w:type="dxa"/>
            <w:tcBorders>
              <w:tl2br w:val="nil"/>
              <w:tr2bl w:val="nil"/>
            </w:tcBorders>
            <w:noWrap w:val="0"/>
            <w:vAlign w:val="center"/>
          </w:tcPr>
          <w:p>
            <w:pPr>
              <w:spacing w:line="360" w:lineRule="auto"/>
              <w:rPr>
                <w:rFonts w:hint="eastAsia" w:ascii="宋体" w:hAnsi="宋体" w:eastAsia="宋体" w:cs="宋体"/>
                <w:sz w:val="18"/>
                <w:szCs w:val="18"/>
              </w:rPr>
            </w:pPr>
            <w:r>
              <w:rPr>
                <w:rFonts w:hint="eastAsia" w:ascii="宋体" w:hAnsi="宋体" w:eastAsia="宋体" w:cs="宋体"/>
                <w:sz w:val="18"/>
                <w:szCs w:val="18"/>
              </w:rPr>
              <w:t>按照公司制定的相关节能规章制度，节能管理规范和节能计划来执行。如《节约能源法》，《公司节能降耗规章制度》</w:t>
            </w:r>
          </w:p>
        </w:tc>
        <w:tc>
          <w:tcPr>
            <w:tcW w:w="2303" w:type="dxa"/>
            <w:tcBorders>
              <w:tl2br w:val="nil"/>
              <w:tr2bl w:val="nil"/>
            </w:tcBorders>
            <w:noWrap w:val="0"/>
            <w:vAlign w:val="center"/>
          </w:tcPr>
          <w:p>
            <w:pPr>
              <w:spacing w:line="360" w:lineRule="auto"/>
              <w:rPr>
                <w:rFonts w:hint="eastAsia" w:ascii="宋体" w:hAnsi="宋体" w:eastAsia="宋体" w:cs="宋体"/>
                <w:sz w:val="18"/>
                <w:szCs w:val="18"/>
              </w:rPr>
            </w:pPr>
            <w:r>
              <w:rPr>
                <w:rFonts w:hint="eastAsia" w:ascii="宋体" w:hAnsi="宋体" w:eastAsia="宋体" w:cs="宋体"/>
                <w:sz w:val="18"/>
                <w:szCs w:val="18"/>
              </w:rPr>
              <w:t>按照《中华人民共和国计量法》和《计量法实施细则》等相关法律来节能</w:t>
            </w:r>
          </w:p>
        </w:tc>
        <w:tc>
          <w:tcPr>
            <w:tcW w:w="1411" w:type="dxa"/>
            <w:tcBorders>
              <w:tl2br w:val="nil"/>
              <w:tr2bl w:val="nil"/>
            </w:tcBorders>
            <w:noWrap w:val="0"/>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内部监测</w:t>
            </w:r>
          </w:p>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外包监测</w:t>
            </w:r>
          </w:p>
        </w:tc>
      </w:tr>
      <w:tr>
        <w:tblPrEx>
          <w:tblBorders>
            <w:top w:val="thinThickSmallGap" w:color="C2AA18" w:sz="24" w:space="0"/>
            <w:left w:val="none" w:color="auto" w:sz="0" w:space="0"/>
            <w:bottom w:val="thinThickSmallGap" w:color="C2AA18" w:sz="24" w:space="0"/>
            <w:right w:val="none" w:color="auto" w:sz="0" w:space="0"/>
            <w:insideH w:val="single" w:color="C2AA18" w:sz="4" w:space="0"/>
            <w:insideV w:val="single" w:color="C2AA18" w:sz="4" w:space="0"/>
          </w:tblBorders>
          <w:tblCellMar>
            <w:top w:w="0" w:type="dxa"/>
            <w:left w:w="108" w:type="dxa"/>
            <w:bottom w:w="0" w:type="dxa"/>
            <w:right w:w="108" w:type="dxa"/>
          </w:tblCellMar>
        </w:tblPrEx>
        <w:trPr>
          <w:wBefore w:w="0" w:type="auto"/>
          <w:wAfter w:w="0" w:type="auto"/>
        </w:trPr>
        <w:tc>
          <w:tcPr>
            <w:tcW w:w="1185" w:type="dxa"/>
            <w:tcBorders>
              <w:tl2br w:val="nil"/>
              <w:tr2bl w:val="nil"/>
            </w:tcBorders>
            <w:noWrap w:val="0"/>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安全生产</w:t>
            </w:r>
          </w:p>
        </w:tc>
        <w:tc>
          <w:tcPr>
            <w:tcW w:w="1602" w:type="dxa"/>
            <w:tcBorders>
              <w:tl2br w:val="nil"/>
              <w:tr2bl w:val="nil"/>
            </w:tcBorders>
            <w:noWrap w:val="0"/>
            <w:vAlign w:val="center"/>
          </w:tcPr>
          <w:p>
            <w:pPr>
              <w:spacing w:line="360" w:lineRule="auto"/>
              <w:rPr>
                <w:rFonts w:hint="eastAsia" w:ascii="宋体" w:hAnsi="宋体" w:eastAsia="宋体" w:cs="宋体"/>
                <w:sz w:val="18"/>
                <w:szCs w:val="18"/>
              </w:rPr>
            </w:pPr>
            <w:r>
              <w:rPr>
                <w:rFonts w:hint="eastAsia" w:ascii="宋体" w:hAnsi="宋体" w:eastAsia="宋体" w:cs="宋体"/>
                <w:sz w:val="18"/>
                <w:szCs w:val="18"/>
              </w:rPr>
              <w:t>火灾等造成人身事故等</w:t>
            </w:r>
          </w:p>
        </w:tc>
        <w:tc>
          <w:tcPr>
            <w:tcW w:w="2673" w:type="dxa"/>
            <w:tcBorders>
              <w:tl2br w:val="nil"/>
              <w:tr2bl w:val="nil"/>
            </w:tcBorders>
            <w:noWrap w:val="0"/>
            <w:vAlign w:val="center"/>
          </w:tcPr>
          <w:p>
            <w:pPr>
              <w:spacing w:line="360" w:lineRule="auto"/>
              <w:rPr>
                <w:rFonts w:hint="eastAsia" w:ascii="宋体" w:hAnsi="宋体" w:eastAsia="宋体" w:cs="宋体"/>
                <w:sz w:val="18"/>
                <w:szCs w:val="18"/>
              </w:rPr>
            </w:pPr>
            <w:r>
              <w:rPr>
                <w:rFonts w:hint="eastAsia" w:ascii="宋体" w:hAnsi="宋体" w:eastAsia="宋体" w:cs="宋体"/>
                <w:sz w:val="18"/>
                <w:szCs w:val="18"/>
              </w:rPr>
              <w:t>按照公司制订的《安全生产管理制度》，《突发性事件应急预案》管理规定执行</w:t>
            </w:r>
          </w:p>
        </w:tc>
        <w:tc>
          <w:tcPr>
            <w:tcW w:w="2303" w:type="dxa"/>
            <w:tcBorders>
              <w:tl2br w:val="nil"/>
              <w:tr2bl w:val="nil"/>
            </w:tcBorders>
            <w:noWrap w:val="0"/>
            <w:vAlign w:val="center"/>
          </w:tcPr>
          <w:p>
            <w:pPr>
              <w:spacing w:line="360" w:lineRule="auto"/>
              <w:rPr>
                <w:rFonts w:hint="eastAsia" w:ascii="宋体" w:hAnsi="宋体" w:eastAsia="宋体" w:cs="宋体"/>
                <w:sz w:val="18"/>
                <w:szCs w:val="18"/>
              </w:rPr>
            </w:pPr>
            <w:r>
              <w:rPr>
                <w:rFonts w:hint="eastAsia" w:ascii="宋体" w:hAnsi="宋体" w:eastAsia="宋体" w:cs="宋体"/>
                <w:sz w:val="18"/>
                <w:szCs w:val="18"/>
              </w:rPr>
              <w:t>符合《劳动合同法》、</w:t>
            </w:r>
            <w:r>
              <w:rPr>
                <w:rFonts w:hint="eastAsia" w:ascii="宋体" w:hAnsi="宋体" w:eastAsia="宋体" w:cs="宋体"/>
                <w:sz w:val="18"/>
                <w:szCs w:val="18"/>
              </w:rPr>
              <w:fldChar w:fldCharType="begin"/>
            </w:r>
            <w:r>
              <w:rPr>
                <w:rFonts w:hint="eastAsia" w:ascii="宋体" w:hAnsi="宋体" w:eastAsia="宋体" w:cs="宋体"/>
                <w:sz w:val="18"/>
                <w:szCs w:val="18"/>
              </w:rPr>
              <w:instrText xml:space="preserve">HYPERLINK "http://file.jushi.com/fileManager/fileManageAction.do?act=manage&amp;module=tms.archives.manage" \t "_blank"</w:instrText>
            </w:r>
            <w:r>
              <w:rPr>
                <w:rFonts w:hint="eastAsia" w:ascii="宋体" w:hAnsi="宋体" w:eastAsia="宋体" w:cs="宋体"/>
                <w:sz w:val="18"/>
                <w:szCs w:val="18"/>
              </w:rPr>
              <w:fldChar w:fldCharType="separate"/>
            </w:r>
            <w:r>
              <w:rPr>
                <w:rFonts w:hint="eastAsia" w:ascii="宋体" w:hAnsi="宋体" w:eastAsia="宋体" w:cs="宋体"/>
                <w:sz w:val="18"/>
                <w:szCs w:val="18"/>
              </w:rPr>
              <w:t>《安全生产法</w:t>
            </w:r>
            <w:r>
              <w:rPr>
                <w:rFonts w:hint="eastAsia" w:ascii="宋体" w:hAnsi="宋体" w:eastAsia="宋体" w:cs="宋体"/>
                <w:sz w:val="18"/>
                <w:szCs w:val="18"/>
              </w:rPr>
              <w:fldChar w:fldCharType="end"/>
            </w:r>
            <w:r>
              <w:rPr>
                <w:rFonts w:hint="eastAsia" w:ascii="宋体" w:hAnsi="宋体" w:eastAsia="宋体" w:cs="宋体"/>
                <w:sz w:val="18"/>
                <w:szCs w:val="18"/>
              </w:rPr>
              <w:t>》、《职业病防治法》等</w:t>
            </w:r>
          </w:p>
        </w:tc>
        <w:tc>
          <w:tcPr>
            <w:tcW w:w="1411" w:type="dxa"/>
            <w:tcBorders>
              <w:tl2br w:val="nil"/>
              <w:tr2bl w:val="nil"/>
            </w:tcBorders>
            <w:noWrap w:val="0"/>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定期监测</w:t>
            </w:r>
          </w:p>
        </w:tc>
      </w:tr>
      <w:tr>
        <w:tblPrEx>
          <w:tblBorders>
            <w:top w:val="thinThickSmallGap" w:color="C2AA18" w:sz="24" w:space="0"/>
            <w:left w:val="none" w:color="auto" w:sz="0" w:space="0"/>
            <w:bottom w:val="thinThickSmallGap" w:color="C2AA18" w:sz="24" w:space="0"/>
            <w:right w:val="none" w:color="auto" w:sz="0" w:space="0"/>
            <w:insideH w:val="single" w:color="C2AA18" w:sz="4" w:space="0"/>
            <w:insideV w:val="single" w:color="C2AA18" w:sz="4" w:space="0"/>
          </w:tblBorders>
        </w:tblPrEx>
        <w:trPr>
          <w:wBefore w:w="0" w:type="auto"/>
          <w:wAfter w:w="0" w:type="auto"/>
        </w:trPr>
        <w:tc>
          <w:tcPr>
            <w:tcW w:w="1185" w:type="dxa"/>
            <w:tcBorders>
              <w:tl2br w:val="nil"/>
              <w:tr2bl w:val="nil"/>
            </w:tcBorders>
            <w:noWrap w:val="0"/>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产品安全</w:t>
            </w:r>
          </w:p>
        </w:tc>
        <w:tc>
          <w:tcPr>
            <w:tcW w:w="1602" w:type="dxa"/>
            <w:tcBorders>
              <w:tl2br w:val="nil"/>
              <w:tr2bl w:val="nil"/>
            </w:tcBorders>
            <w:noWrap w:val="0"/>
            <w:vAlign w:val="center"/>
          </w:tcPr>
          <w:p>
            <w:pPr>
              <w:spacing w:line="360" w:lineRule="auto"/>
              <w:rPr>
                <w:rFonts w:hint="eastAsia" w:ascii="宋体" w:hAnsi="宋体" w:eastAsia="宋体" w:cs="宋体"/>
                <w:sz w:val="18"/>
                <w:szCs w:val="18"/>
              </w:rPr>
            </w:pPr>
            <w:r>
              <w:rPr>
                <w:rFonts w:hint="eastAsia" w:ascii="宋体" w:hAnsi="宋体" w:eastAsia="宋体" w:cs="宋体"/>
                <w:sz w:val="18"/>
                <w:szCs w:val="18"/>
              </w:rPr>
              <w:t>因产品发生火灾等</w:t>
            </w:r>
          </w:p>
        </w:tc>
        <w:tc>
          <w:tcPr>
            <w:tcW w:w="2673" w:type="dxa"/>
            <w:tcBorders>
              <w:tl2br w:val="nil"/>
              <w:tr2bl w:val="nil"/>
            </w:tcBorders>
            <w:noWrap w:val="0"/>
            <w:vAlign w:val="center"/>
          </w:tcPr>
          <w:p>
            <w:pPr>
              <w:spacing w:line="360" w:lineRule="auto"/>
              <w:rPr>
                <w:rFonts w:hint="eastAsia" w:ascii="宋体" w:hAnsi="宋体" w:eastAsia="宋体" w:cs="宋体"/>
                <w:sz w:val="18"/>
                <w:szCs w:val="18"/>
              </w:rPr>
            </w:pPr>
            <w:r>
              <w:rPr>
                <w:rFonts w:hint="eastAsia" w:ascii="宋体" w:hAnsi="宋体" w:eastAsia="宋体" w:cs="宋体"/>
                <w:sz w:val="18"/>
                <w:szCs w:val="18"/>
              </w:rPr>
              <w:t>符合《质量管理体系认证》、《产品质量法》、《工业产品质量责任条例》、《产品质量认证管理条例》等</w:t>
            </w:r>
          </w:p>
        </w:tc>
        <w:tc>
          <w:tcPr>
            <w:tcW w:w="2303" w:type="dxa"/>
            <w:tcBorders>
              <w:tl2br w:val="nil"/>
              <w:tr2bl w:val="nil"/>
            </w:tcBorders>
            <w:noWrap w:val="0"/>
            <w:vAlign w:val="center"/>
          </w:tcPr>
          <w:p>
            <w:pPr>
              <w:spacing w:line="360" w:lineRule="auto"/>
              <w:rPr>
                <w:rFonts w:hint="eastAsia" w:ascii="宋体" w:hAnsi="宋体" w:eastAsia="宋体" w:cs="宋体"/>
                <w:sz w:val="18"/>
                <w:szCs w:val="18"/>
              </w:rPr>
            </w:pPr>
            <w:r>
              <w:rPr>
                <w:rFonts w:hint="eastAsia" w:ascii="宋体" w:hAnsi="宋体" w:eastAsia="宋体" w:cs="宋体"/>
                <w:sz w:val="18"/>
                <w:szCs w:val="18"/>
              </w:rPr>
              <w:t>符合《产品质量法》，GB/T14001等质量/环境管理体系，《安全生产法》等</w:t>
            </w:r>
          </w:p>
        </w:tc>
        <w:tc>
          <w:tcPr>
            <w:tcW w:w="1411" w:type="dxa"/>
            <w:tcBorders>
              <w:tl2br w:val="nil"/>
              <w:tr2bl w:val="nil"/>
            </w:tcBorders>
            <w:noWrap w:val="0"/>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定期监测</w:t>
            </w:r>
          </w:p>
        </w:tc>
      </w:tr>
      <w:tr>
        <w:tblPrEx>
          <w:tblBorders>
            <w:top w:val="thinThickSmallGap" w:color="C2AA18" w:sz="24" w:space="0"/>
            <w:left w:val="none" w:color="auto" w:sz="0" w:space="0"/>
            <w:bottom w:val="thinThickSmallGap" w:color="C2AA18" w:sz="24" w:space="0"/>
            <w:right w:val="none" w:color="auto" w:sz="0" w:space="0"/>
            <w:insideH w:val="single" w:color="C2AA18" w:sz="4" w:space="0"/>
            <w:insideV w:val="single" w:color="C2AA18" w:sz="4" w:space="0"/>
          </w:tblBorders>
          <w:tblCellMar>
            <w:top w:w="0" w:type="dxa"/>
            <w:left w:w="108" w:type="dxa"/>
            <w:bottom w:w="0" w:type="dxa"/>
            <w:right w:w="108" w:type="dxa"/>
          </w:tblCellMar>
        </w:tblPrEx>
        <w:trPr>
          <w:wBefore w:w="0" w:type="auto"/>
          <w:wAfter w:w="0" w:type="auto"/>
        </w:trPr>
        <w:tc>
          <w:tcPr>
            <w:tcW w:w="1185" w:type="dxa"/>
            <w:tcBorders>
              <w:tl2br w:val="nil"/>
              <w:tr2bl w:val="nil"/>
            </w:tcBorders>
            <w:noWrap w:val="0"/>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公共卫生</w:t>
            </w:r>
          </w:p>
        </w:tc>
        <w:tc>
          <w:tcPr>
            <w:tcW w:w="1602" w:type="dxa"/>
            <w:tcBorders>
              <w:tl2br w:val="nil"/>
              <w:tr2bl w:val="nil"/>
            </w:tcBorders>
            <w:noWrap w:val="0"/>
            <w:vAlign w:val="center"/>
          </w:tcPr>
          <w:p>
            <w:pPr>
              <w:spacing w:line="360" w:lineRule="auto"/>
              <w:rPr>
                <w:rFonts w:hint="eastAsia" w:ascii="宋体" w:hAnsi="宋体" w:eastAsia="宋体" w:cs="宋体"/>
                <w:sz w:val="18"/>
                <w:szCs w:val="18"/>
              </w:rPr>
            </w:pPr>
            <w:r>
              <w:rPr>
                <w:rFonts w:hint="eastAsia" w:ascii="宋体" w:hAnsi="宋体" w:eastAsia="宋体" w:cs="宋体"/>
                <w:sz w:val="18"/>
                <w:szCs w:val="18"/>
              </w:rPr>
              <w:t>食堂垃圾</w:t>
            </w:r>
          </w:p>
          <w:p>
            <w:pPr>
              <w:spacing w:line="360" w:lineRule="auto"/>
              <w:rPr>
                <w:rFonts w:hint="eastAsia" w:ascii="宋体" w:hAnsi="宋体" w:eastAsia="宋体" w:cs="宋体"/>
                <w:sz w:val="18"/>
                <w:szCs w:val="18"/>
              </w:rPr>
            </w:pPr>
            <w:r>
              <w:rPr>
                <w:rFonts w:hint="eastAsia" w:ascii="宋体" w:hAnsi="宋体" w:eastAsia="宋体" w:cs="宋体"/>
                <w:sz w:val="18"/>
                <w:szCs w:val="18"/>
              </w:rPr>
              <w:t>生活污水</w:t>
            </w:r>
          </w:p>
          <w:p>
            <w:pPr>
              <w:spacing w:line="360" w:lineRule="auto"/>
              <w:rPr>
                <w:rFonts w:hint="eastAsia" w:ascii="宋体" w:hAnsi="宋体" w:eastAsia="宋体" w:cs="宋体"/>
                <w:sz w:val="18"/>
                <w:szCs w:val="18"/>
              </w:rPr>
            </w:pPr>
            <w:r>
              <w:rPr>
                <w:rFonts w:hint="eastAsia" w:ascii="宋体" w:hAnsi="宋体" w:eastAsia="宋体" w:cs="宋体"/>
                <w:sz w:val="18"/>
                <w:szCs w:val="18"/>
              </w:rPr>
              <w:t>生活垃圾</w:t>
            </w:r>
          </w:p>
          <w:p>
            <w:pPr>
              <w:spacing w:line="360" w:lineRule="auto"/>
              <w:rPr>
                <w:rFonts w:hint="eastAsia" w:ascii="宋体" w:hAnsi="宋体" w:eastAsia="宋体" w:cs="宋体"/>
                <w:sz w:val="18"/>
                <w:szCs w:val="18"/>
              </w:rPr>
            </w:pPr>
            <w:r>
              <w:rPr>
                <w:rFonts w:hint="eastAsia" w:ascii="宋体" w:hAnsi="宋体" w:eastAsia="宋体" w:cs="宋体"/>
                <w:sz w:val="18"/>
                <w:szCs w:val="18"/>
              </w:rPr>
              <w:t>危险固废</w:t>
            </w:r>
          </w:p>
        </w:tc>
        <w:tc>
          <w:tcPr>
            <w:tcW w:w="2673" w:type="dxa"/>
            <w:tcBorders>
              <w:tl2br w:val="nil"/>
              <w:tr2bl w:val="nil"/>
            </w:tcBorders>
            <w:noWrap w:val="0"/>
            <w:vAlign w:val="center"/>
          </w:tcPr>
          <w:p>
            <w:pPr>
              <w:spacing w:line="360" w:lineRule="auto"/>
              <w:rPr>
                <w:rFonts w:hint="eastAsia" w:ascii="宋体" w:hAnsi="宋体" w:eastAsia="宋体" w:cs="宋体"/>
                <w:sz w:val="18"/>
                <w:szCs w:val="18"/>
              </w:rPr>
            </w:pPr>
            <w:r>
              <w:rPr>
                <w:rFonts w:hint="eastAsia" w:ascii="宋体" w:hAnsi="宋体" w:eastAsia="宋体" w:cs="宋体"/>
                <w:sz w:val="18"/>
                <w:szCs w:val="18"/>
              </w:rPr>
              <w:t>公司规定垃圾集中收集运到垃圾中转站，由垃圾处理厂统一处理；污水纳入污水管网进公司处理站预处理后再纳入镇污水处理厂处理；危险固废统一收集由市固废处理中心统一处理</w:t>
            </w:r>
          </w:p>
        </w:tc>
        <w:tc>
          <w:tcPr>
            <w:tcW w:w="2303" w:type="dxa"/>
            <w:tcBorders>
              <w:tl2br w:val="nil"/>
              <w:tr2bl w:val="nil"/>
            </w:tcBorders>
            <w:noWrap w:val="0"/>
            <w:vAlign w:val="center"/>
          </w:tcPr>
          <w:p>
            <w:pPr>
              <w:spacing w:line="360" w:lineRule="auto"/>
              <w:rPr>
                <w:rFonts w:hint="eastAsia" w:ascii="宋体" w:hAnsi="宋体" w:eastAsia="宋体" w:cs="宋体"/>
                <w:sz w:val="18"/>
                <w:szCs w:val="18"/>
              </w:rPr>
            </w:pPr>
            <w:r>
              <w:rPr>
                <w:rFonts w:hint="eastAsia" w:ascii="宋体" w:hAnsi="宋体" w:eastAsia="宋体" w:cs="宋体"/>
                <w:sz w:val="18"/>
                <w:szCs w:val="18"/>
              </w:rPr>
              <w:t>符合ISO14001管理体系，符合《环境管理体系认证》，《环境保护法》等</w:t>
            </w:r>
          </w:p>
        </w:tc>
        <w:tc>
          <w:tcPr>
            <w:tcW w:w="1411" w:type="dxa"/>
            <w:tcBorders>
              <w:tl2br w:val="nil"/>
              <w:tr2bl w:val="nil"/>
            </w:tcBorders>
            <w:noWrap w:val="0"/>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内部监测</w:t>
            </w:r>
          </w:p>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外包监测</w:t>
            </w:r>
          </w:p>
        </w:tc>
      </w:tr>
    </w:tbl>
    <w:p>
      <w:pPr>
        <w:adjustRightInd w:val="0"/>
        <w:spacing w:line="360" w:lineRule="auto"/>
        <w:ind w:firstLine="539"/>
        <w:rPr>
          <w:rFonts w:hint="eastAsia" w:ascii="宋体" w:hAnsi="宋体"/>
          <w:spacing w:val="2"/>
          <w:szCs w:val="21"/>
        </w:rPr>
      </w:pPr>
    </w:p>
    <w:p>
      <w:pPr>
        <w:adjustRightInd w:val="0"/>
        <w:spacing w:line="360" w:lineRule="auto"/>
        <w:ind w:firstLine="539"/>
        <w:rPr>
          <w:rFonts w:ascii="宋体" w:hAnsi="宋体"/>
          <w:spacing w:val="2"/>
          <w:sz w:val="24"/>
        </w:rPr>
      </w:pPr>
      <w:r>
        <w:rPr>
          <w:rFonts w:ascii="宋体" w:hAnsi="宋体"/>
          <w:spacing w:val="2"/>
          <w:sz w:val="24"/>
        </w:rPr>
        <w:t>公司</w:t>
      </w:r>
      <w:r>
        <w:rPr>
          <w:rFonts w:hint="eastAsia" w:ascii="宋体" w:hAnsi="宋体"/>
          <w:spacing w:val="2"/>
          <w:sz w:val="24"/>
        </w:rPr>
        <w:t>以“</w:t>
      </w:r>
      <w:r>
        <w:rPr>
          <w:rFonts w:hint="eastAsia" w:ascii="宋体" w:hAnsi="宋体" w:eastAsia="Calibri" w:cs="Times New Roman"/>
          <w:spacing w:val="2"/>
          <w:sz w:val="24"/>
          <w:lang w:val="en-US" w:eastAsia="zh-CN"/>
        </w:rPr>
        <w:t>以人为本、敬业奉献、诚信感恩、同创共享</w:t>
      </w:r>
      <w:r>
        <w:rPr>
          <w:rFonts w:hint="eastAsia" w:ascii="宋体" w:hAnsi="宋体" w:eastAsia="Calibri" w:cs="Times New Roman"/>
          <w:spacing w:val="2"/>
          <w:sz w:val="24"/>
        </w:rPr>
        <w:t>”</w:t>
      </w:r>
      <w:r>
        <w:rPr>
          <w:rFonts w:hint="eastAsia" w:ascii="宋体" w:hAnsi="宋体"/>
          <w:spacing w:val="2"/>
          <w:sz w:val="24"/>
        </w:rPr>
        <w:t>为核心价值观，</w:t>
      </w:r>
      <w:r>
        <w:rPr>
          <w:rFonts w:ascii="宋体" w:hAnsi="宋体"/>
          <w:spacing w:val="2"/>
          <w:sz w:val="24"/>
        </w:rPr>
        <w:t>在发展过程中坚持和倡导诚信，强调诚信经营、诚信品质、诚信纳税、诚信守法，切实履行法律法规和道德规范。公司对客户诚信，以顾客为导向，注重做好产品销售与售后服务，赢得了客户的信任、支持和肯定；公司对员工诚信，在工作、生活等方面身体力行关爱员工，提高员工满意度。公司合同履约率100%，确保与合作伙伴建立健康、规范的良好合作关系，打造信用企业。</w:t>
      </w:r>
    </w:p>
    <w:p>
      <w:pPr>
        <w:autoSpaceDE w:val="0"/>
        <w:autoSpaceDN w:val="0"/>
        <w:adjustRightInd w:val="0"/>
        <w:spacing w:line="360" w:lineRule="auto"/>
        <w:ind w:firstLine="482"/>
        <w:rPr>
          <w:rFonts w:hint="eastAsia" w:ascii="宋体" w:hAnsi="宋体"/>
          <w:spacing w:val="2"/>
          <w:sz w:val="24"/>
        </w:rPr>
      </w:pPr>
      <w:r>
        <w:rPr>
          <w:rFonts w:ascii="宋体" w:hAnsi="宋体"/>
          <w:spacing w:val="2"/>
          <w:sz w:val="24"/>
        </w:rPr>
        <w:t>通过诚信经营，公司</w:t>
      </w:r>
      <w:r>
        <w:rPr>
          <w:rFonts w:hint="eastAsia" w:ascii="宋体" w:hAnsi="宋体" w:eastAsia="宋体"/>
          <w:spacing w:val="2"/>
          <w:sz w:val="24"/>
          <w:lang w:val="en-US" w:eastAsia="zh-CN"/>
        </w:rPr>
        <w:t>通过</w:t>
      </w:r>
      <w:r>
        <w:rPr>
          <w:rFonts w:hint="eastAsia" w:ascii="宋体" w:hAnsi="宋体" w:eastAsia="Calibri" w:cs="Times New Roman"/>
          <w:spacing w:val="2"/>
          <w:sz w:val="24"/>
        </w:rPr>
        <w:t>浙江省AA级“守合同重信用企业”。</w:t>
      </w:r>
      <w:r>
        <w:rPr>
          <w:rFonts w:ascii="宋体" w:hAnsi="宋体"/>
          <w:spacing w:val="2"/>
          <w:sz w:val="24"/>
        </w:rPr>
        <w:t>受到了顾客、供应商、政府、工商、税务、银行等部门的广泛好评。</w:t>
      </w:r>
    </w:p>
    <w:p>
      <w:pPr>
        <w:pStyle w:val="107"/>
        <w:spacing w:line="360" w:lineRule="auto"/>
        <w:ind w:firstLine="480"/>
        <w:rPr>
          <w:rFonts w:hint="eastAsia" w:ascii="宋体" w:hAnsi="宋体"/>
          <w:color w:val="auto"/>
        </w:rPr>
      </w:pPr>
      <w:r>
        <w:rPr>
          <w:rFonts w:ascii="宋体" w:hAnsi="宋体"/>
          <w:color w:val="auto"/>
        </w:rPr>
        <w:t>为确保内部运行符合道德要求，公司制定了道德行为测量指标与方法。</w:t>
      </w:r>
      <w:r>
        <w:rPr>
          <w:rFonts w:hint="eastAsia" w:ascii="宋体" w:hAnsi="宋体"/>
          <w:color w:val="auto"/>
        </w:rPr>
        <w:t>如下表：</w:t>
      </w:r>
    </w:p>
    <w:p>
      <w:pPr>
        <w:pStyle w:val="7"/>
        <w:keepNext/>
        <w:adjustRightInd w:val="0"/>
        <w:spacing w:before="156" w:beforeLines="50" w:line="360" w:lineRule="auto"/>
        <w:ind w:firstLine="422"/>
        <w:jc w:val="center"/>
        <w:rPr>
          <w:rFonts w:ascii="宋体" w:hAnsi="宋体" w:eastAsia="宋体"/>
          <w:b/>
          <w:sz w:val="21"/>
          <w:szCs w:val="21"/>
        </w:rPr>
      </w:pPr>
      <w:r>
        <w:rPr>
          <w:rFonts w:ascii="宋体" w:hAnsi="宋体" w:eastAsia="宋体"/>
          <w:b/>
          <w:sz w:val="21"/>
          <w:szCs w:val="21"/>
        </w:rPr>
        <w:t>公司道德行为监测体系</w:t>
      </w:r>
    </w:p>
    <w:tbl>
      <w:tblPr>
        <w:tblStyle w:val="35"/>
        <w:tblW w:w="0" w:type="auto"/>
        <w:jc w:val="center"/>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Layout w:type="fixed"/>
        <w:tblCellMar>
          <w:top w:w="28" w:type="dxa"/>
          <w:left w:w="108" w:type="dxa"/>
          <w:bottom w:w="28" w:type="dxa"/>
          <w:right w:w="108" w:type="dxa"/>
        </w:tblCellMar>
      </w:tblPr>
      <w:tblGrid>
        <w:gridCol w:w="653"/>
        <w:gridCol w:w="1276"/>
        <w:gridCol w:w="1276"/>
        <w:gridCol w:w="3741"/>
        <w:gridCol w:w="1900"/>
      </w:tblGrid>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28" w:type="dxa"/>
            <w:left w:w="108" w:type="dxa"/>
            <w:bottom w:w="28" w:type="dxa"/>
            <w:right w:w="108" w:type="dxa"/>
          </w:tblCellMar>
        </w:tblPrEx>
        <w:trPr>
          <w:wBefore w:w="0" w:type="dxa"/>
          <w:wAfter w:w="0" w:type="dxa"/>
          <w:cantSplit/>
          <w:trHeight w:val="748" w:hRule="atLeast"/>
          <w:tblHeader/>
          <w:jc w:val="center"/>
        </w:trPr>
        <w:tc>
          <w:tcPr>
            <w:tcW w:w="653" w:type="dxa"/>
            <w:tcBorders>
              <w:tl2br w:val="nil"/>
              <w:tr2bl w:val="nil"/>
            </w:tcBorders>
            <w:noWrap w:val="0"/>
            <w:tcMar>
              <w:top w:w="28" w:type="dxa"/>
              <w:left w:w="0" w:type="dxa"/>
              <w:bottom w:w="28" w:type="dxa"/>
              <w:right w:w="0" w:type="dxa"/>
            </w:tcMar>
            <w:vAlign w:val="center"/>
          </w:tcPr>
          <w:p>
            <w:pPr>
              <w:adjustRightInd w:val="0"/>
              <w:jc w:val="center"/>
              <w:rPr>
                <w:rFonts w:hint="eastAsia" w:ascii="宋体" w:hAnsi="宋体" w:eastAsia="宋体" w:cs="宋体"/>
                <w:b/>
                <w:sz w:val="18"/>
                <w:szCs w:val="18"/>
              </w:rPr>
            </w:pPr>
            <w:r>
              <w:rPr>
                <w:rFonts w:hint="eastAsia" w:ascii="宋体" w:hAnsi="宋体" w:eastAsia="宋体" w:cs="宋体"/>
                <w:b/>
                <w:sz w:val="18"/>
                <w:szCs w:val="18"/>
              </w:rPr>
              <w:t>行为 类型</w:t>
            </w:r>
          </w:p>
        </w:tc>
        <w:tc>
          <w:tcPr>
            <w:tcW w:w="1276" w:type="dxa"/>
            <w:tcBorders>
              <w:tl2br w:val="nil"/>
              <w:tr2bl w:val="nil"/>
            </w:tcBorders>
            <w:noWrap w:val="0"/>
            <w:tcMar>
              <w:top w:w="28" w:type="dxa"/>
              <w:left w:w="0" w:type="dxa"/>
              <w:bottom w:w="28" w:type="dxa"/>
              <w:right w:w="0" w:type="dxa"/>
            </w:tcMar>
            <w:vAlign w:val="center"/>
          </w:tcPr>
          <w:p>
            <w:pPr>
              <w:adjustRightInd w:val="0"/>
              <w:spacing w:line="360" w:lineRule="auto"/>
              <w:jc w:val="center"/>
              <w:rPr>
                <w:rFonts w:hint="eastAsia" w:ascii="宋体" w:hAnsi="宋体" w:eastAsia="宋体" w:cs="宋体"/>
                <w:b/>
                <w:sz w:val="18"/>
                <w:szCs w:val="18"/>
              </w:rPr>
            </w:pPr>
            <w:r>
              <w:rPr>
                <w:rFonts w:hint="eastAsia" w:ascii="宋体" w:hAnsi="宋体" w:eastAsia="宋体" w:cs="宋体"/>
                <w:b/>
                <w:sz w:val="18"/>
                <w:szCs w:val="18"/>
              </w:rPr>
              <w:t>监督对象</w:t>
            </w:r>
          </w:p>
        </w:tc>
        <w:tc>
          <w:tcPr>
            <w:tcW w:w="1276" w:type="dxa"/>
            <w:tcBorders>
              <w:tl2br w:val="nil"/>
              <w:tr2bl w:val="nil"/>
            </w:tcBorders>
            <w:noWrap w:val="0"/>
            <w:tcMar>
              <w:top w:w="28" w:type="dxa"/>
              <w:left w:w="0" w:type="dxa"/>
              <w:bottom w:w="28" w:type="dxa"/>
              <w:right w:w="0" w:type="dxa"/>
            </w:tcMar>
            <w:vAlign w:val="center"/>
          </w:tcPr>
          <w:p>
            <w:pPr>
              <w:adjustRightInd w:val="0"/>
              <w:spacing w:line="360" w:lineRule="auto"/>
              <w:jc w:val="center"/>
              <w:rPr>
                <w:rFonts w:hint="eastAsia" w:ascii="宋体" w:hAnsi="宋体" w:eastAsia="宋体" w:cs="宋体"/>
                <w:b/>
                <w:sz w:val="18"/>
                <w:szCs w:val="18"/>
              </w:rPr>
            </w:pPr>
            <w:r>
              <w:rPr>
                <w:rFonts w:hint="eastAsia" w:ascii="宋体" w:hAnsi="宋体" w:eastAsia="宋体" w:cs="宋体"/>
                <w:b/>
                <w:sz w:val="18"/>
                <w:szCs w:val="18"/>
              </w:rPr>
              <w:t>监督部门</w:t>
            </w:r>
          </w:p>
        </w:tc>
        <w:tc>
          <w:tcPr>
            <w:tcW w:w="3741" w:type="dxa"/>
            <w:tcBorders>
              <w:tl2br w:val="nil"/>
              <w:tr2bl w:val="nil"/>
            </w:tcBorders>
            <w:noWrap w:val="0"/>
            <w:vAlign w:val="center"/>
          </w:tcPr>
          <w:p>
            <w:pPr>
              <w:adjustRightInd w:val="0"/>
              <w:spacing w:line="360" w:lineRule="auto"/>
              <w:jc w:val="center"/>
              <w:rPr>
                <w:rFonts w:hint="eastAsia" w:ascii="宋体" w:hAnsi="宋体" w:eastAsia="宋体" w:cs="宋体"/>
                <w:b/>
                <w:sz w:val="18"/>
                <w:szCs w:val="18"/>
              </w:rPr>
            </w:pPr>
            <w:r>
              <w:rPr>
                <w:rFonts w:hint="eastAsia" w:ascii="宋体" w:hAnsi="宋体" w:eastAsia="宋体" w:cs="宋体"/>
                <w:b/>
                <w:sz w:val="18"/>
                <w:szCs w:val="18"/>
              </w:rPr>
              <w:t>测量方法与过程</w:t>
            </w:r>
          </w:p>
        </w:tc>
        <w:tc>
          <w:tcPr>
            <w:tcW w:w="1900" w:type="dxa"/>
            <w:tcBorders>
              <w:tl2br w:val="nil"/>
              <w:tr2bl w:val="nil"/>
            </w:tcBorders>
            <w:noWrap w:val="0"/>
            <w:vAlign w:val="center"/>
          </w:tcPr>
          <w:p>
            <w:pPr>
              <w:adjustRightInd w:val="0"/>
              <w:spacing w:line="360" w:lineRule="auto"/>
              <w:jc w:val="center"/>
              <w:rPr>
                <w:rFonts w:hint="eastAsia" w:ascii="宋体" w:hAnsi="宋体" w:eastAsia="宋体" w:cs="宋体"/>
                <w:b/>
                <w:sz w:val="18"/>
                <w:szCs w:val="18"/>
              </w:rPr>
            </w:pPr>
            <w:r>
              <w:rPr>
                <w:rFonts w:hint="eastAsia" w:ascii="宋体" w:hAnsi="宋体" w:eastAsia="宋体" w:cs="宋体"/>
                <w:b/>
                <w:sz w:val="18"/>
                <w:szCs w:val="18"/>
              </w:rPr>
              <w:t>测量指标</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28" w:type="dxa"/>
            <w:left w:w="108" w:type="dxa"/>
            <w:bottom w:w="28" w:type="dxa"/>
            <w:right w:w="108" w:type="dxa"/>
          </w:tblCellMar>
        </w:tblPrEx>
        <w:trPr>
          <w:wBefore w:w="0" w:type="dxa"/>
          <w:wAfter w:w="0" w:type="dxa"/>
          <w:cantSplit/>
          <w:trHeight w:val="969" w:hRule="atLeast"/>
          <w:jc w:val="center"/>
        </w:trPr>
        <w:tc>
          <w:tcPr>
            <w:tcW w:w="653" w:type="dxa"/>
            <w:vMerge w:val="restart"/>
            <w:tcBorders>
              <w:tl2br w:val="nil"/>
              <w:tr2bl w:val="nil"/>
            </w:tcBorders>
            <w:shd w:val="clear" w:color="auto" w:fill="FFFFFF"/>
            <w:noWrap w:val="0"/>
            <w:tcMar>
              <w:top w:w="28" w:type="dxa"/>
              <w:left w:w="0" w:type="dxa"/>
              <w:bottom w:w="28" w:type="dxa"/>
              <w:right w:w="0" w:type="dxa"/>
            </w:tcMar>
            <w:vAlign w:val="center"/>
          </w:tcPr>
          <w:p>
            <w:pPr>
              <w:adjustRightInd w:val="0"/>
              <w:spacing w:line="360" w:lineRule="auto"/>
              <w:jc w:val="center"/>
              <w:rPr>
                <w:rFonts w:hint="eastAsia" w:ascii="宋体" w:hAnsi="宋体" w:eastAsia="宋体" w:cs="宋体"/>
                <w:sz w:val="18"/>
                <w:szCs w:val="18"/>
              </w:rPr>
            </w:pPr>
            <w:r>
              <w:rPr>
                <w:rFonts w:hint="eastAsia" w:ascii="宋体" w:hAnsi="宋体" w:eastAsia="宋体" w:cs="宋体"/>
                <w:sz w:val="18"/>
                <w:szCs w:val="18"/>
              </w:rPr>
              <w:t>企业内部</w:t>
            </w:r>
          </w:p>
        </w:tc>
        <w:tc>
          <w:tcPr>
            <w:tcW w:w="1276" w:type="dxa"/>
            <w:tcBorders>
              <w:tl2br w:val="nil"/>
              <w:tr2bl w:val="nil"/>
            </w:tcBorders>
            <w:shd w:val="clear" w:color="auto" w:fill="FFFFFF"/>
            <w:noWrap w:val="0"/>
            <w:tcMar>
              <w:top w:w="28" w:type="dxa"/>
              <w:left w:w="0" w:type="dxa"/>
              <w:bottom w:w="28" w:type="dxa"/>
              <w:right w:w="0" w:type="dxa"/>
            </w:tcMar>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高层领导</w:t>
            </w:r>
          </w:p>
        </w:tc>
        <w:tc>
          <w:tcPr>
            <w:tcW w:w="1276" w:type="dxa"/>
            <w:tcBorders>
              <w:tl2br w:val="nil"/>
              <w:tr2bl w:val="nil"/>
            </w:tcBorders>
            <w:shd w:val="clear" w:color="auto" w:fill="FFFFFF"/>
            <w:noWrap w:val="0"/>
            <w:tcMar>
              <w:top w:w="28" w:type="dxa"/>
              <w:left w:w="0" w:type="dxa"/>
              <w:bottom w:w="28" w:type="dxa"/>
              <w:right w:w="0" w:type="dxa"/>
            </w:tcMar>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董事会</w:t>
            </w:r>
          </w:p>
        </w:tc>
        <w:tc>
          <w:tcPr>
            <w:tcW w:w="3741" w:type="dxa"/>
            <w:tcBorders>
              <w:tl2br w:val="nil"/>
              <w:tr2bl w:val="nil"/>
            </w:tcBorders>
            <w:shd w:val="clear" w:color="auto" w:fill="FFFFFF"/>
            <w:noWrap w:val="0"/>
            <w:vAlign w:val="center"/>
          </w:tcPr>
          <w:p>
            <w:pPr>
              <w:spacing w:line="360" w:lineRule="auto"/>
              <w:rPr>
                <w:rFonts w:hint="eastAsia" w:ascii="宋体" w:hAnsi="宋体" w:eastAsia="宋体" w:cs="宋体"/>
                <w:sz w:val="18"/>
                <w:szCs w:val="18"/>
              </w:rPr>
            </w:pPr>
            <w:r>
              <w:rPr>
                <w:rFonts w:hint="eastAsia" w:ascii="宋体" w:hAnsi="宋体" w:eastAsia="宋体" w:cs="宋体"/>
                <w:sz w:val="18"/>
                <w:szCs w:val="18"/>
              </w:rPr>
              <w:t>董事会审核公司销售、财务，遵纪守法、信息真实，以《公司法》为准绳，合法生产，合法经营等。</w:t>
            </w:r>
          </w:p>
        </w:tc>
        <w:tc>
          <w:tcPr>
            <w:tcW w:w="1900" w:type="dxa"/>
            <w:tcBorders>
              <w:tl2br w:val="nil"/>
              <w:tr2bl w:val="nil"/>
            </w:tcBorders>
            <w:shd w:val="clear" w:color="auto" w:fill="FFFFFF"/>
            <w:noWrap w:val="0"/>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企业利润、安全、领导能力的纵向评议等</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28" w:type="dxa"/>
            <w:left w:w="108" w:type="dxa"/>
            <w:bottom w:w="28" w:type="dxa"/>
            <w:right w:w="108" w:type="dxa"/>
          </w:tblCellMar>
        </w:tblPrEx>
        <w:trPr>
          <w:wBefore w:w="0" w:type="dxa"/>
          <w:wAfter w:w="0" w:type="dxa"/>
          <w:cantSplit/>
          <w:trHeight w:val="1066" w:hRule="atLeast"/>
          <w:jc w:val="center"/>
        </w:trPr>
        <w:tc>
          <w:tcPr>
            <w:tcW w:w="653" w:type="dxa"/>
            <w:vMerge w:val="continue"/>
            <w:tcBorders>
              <w:tl2br w:val="nil"/>
              <w:tr2bl w:val="nil"/>
            </w:tcBorders>
            <w:shd w:val="clear" w:color="auto" w:fill="auto"/>
            <w:noWrap w:val="0"/>
            <w:vAlign w:val="center"/>
          </w:tcPr>
          <w:p>
            <w:pPr>
              <w:adjustRightInd w:val="0"/>
              <w:spacing w:line="360" w:lineRule="auto"/>
              <w:jc w:val="center"/>
              <w:rPr>
                <w:rFonts w:hint="eastAsia" w:ascii="宋体" w:hAnsi="宋体" w:eastAsia="宋体" w:cs="宋体"/>
                <w:sz w:val="18"/>
                <w:szCs w:val="18"/>
              </w:rPr>
            </w:pPr>
          </w:p>
        </w:tc>
        <w:tc>
          <w:tcPr>
            <w:tcW w:w="1276" w:type="dxa"/>
            <w:tcBorders>
              <w:tl2br w:val="nil"/>
              <w:tr2bl w:val="nil"/>
            </w:tcBorders>
            <w:shd w:val="clear" w:color="auto" w:fill="FFFFFF"/>
            <w:noWrap w:val="0"/>
            <w:tcMar>
              <w:top w:w="28" w:type="dxa"/>
              <w:left w:w="0" w:type="dxa"/>
              <w:bottom w:w="28" w:type="dxa"/>
              <w:right w:w="0" w:type="dxa"/>
            </w:tcMar>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中层干部</w:t>
            </w:r>
          </w:p>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职能部门</w:t>
            </w:r>
          </w:p>
        </w:tc>
        <w:tc>
          <w:tcPr>
            <w:tcW w:w="1276" w:type="dxa"/>
            <w:tcBorders>
              <w:tl2br w:val="nil"/>
              <w:tr2bl w:val="nil"/>
            </w:tcBorders>
            <w:shd w:val="clear" w:color="auto" w:fill="FFFFFF"/>
            <w:noWrap w:val="0"/>
            <w:tcMar>
              <w:top w:w="28" w:type="dxa"/>
              <w:left w:w="0" w:type="dxa"/>
              <w:bottom w:w="28" w:type="dxa"/>
              <w:right w:w="0" w:type="dxa"/>
            </w:tcMar>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工会</w:t>
            </w:r>
          </w:p>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上级部门</w:t>
            </w:r>
          </w:p>
        </w:tc>
        <w:tc>
          <w:tcPr>
            <w:tcW w:w="3741" w:type="dxa"/>
            <w:tcBorders>
              <w:tl2br w:val="nil"/>
              <w:tr2bl w:val="nil"/>
            </w:tcBorders>
            <w:shd w:val="clear" w:color="auto" w:fill="FFFFFF"/>
            <w:noWrap w:val="0"/>
            <w:vAlign w:val="center"/>
          </w:tcPr>
          <w:p>
            <w:pPr>
              <w:spacing w:line="360" w:lineRule="auto"/>
              <w:rPr>
                <w:rFonts w:hint="eastAsia" w:ascii="宋体" w:hAnsi="宋体" w:eastAsia="宋体" w:cs="宋体"/>
                <w:sz w:val="18"/>
                <w:szCs w:val="18"/>
              </w:rPr>
            </w:pPr>
            <w:r>
              <w:rPr>
                <w:rFonts w:hint="eastAsia" w:ascii="宋体" w:hAnsi="宋体" w:eastAsia="宋体" w:cs="宋体"/>
                <w:sz w:val="18"/>
                <w:szCs w:val="18"/>
              </w:rPr>
              <w:t>1、内部审计；</w:t>
            </w:r>
          </w:p>
          <w:p>
            <w:pPr>
              <w:spacing w:line="360" w:lineRule="auto"/>
              <w:rPr>
                <w:rFonts w:hint="eastAsia" w:ascii="宋体" w:hAnsi="宋体" w:eastAsia="宋体" w:cs="宋体"/>
                <w:sz w:val="18"/>
                <w:szCs w:val="18"/>
              </w:rPr>
            </w:pPr>
            <w:r>
              <w:rPr>
                <w:rFonts w:hint="eastAsia" w:ascii="宋体" w:hAnsi="宋体" w:eastAsia="宋体" w:cs="宋体"/>
                <w:sz w:val="18"/>
                <w:szCs w:val="18"/>
              </w:rPr>
              <w:t>2、意见箱投诉举报；</w:t>
            </w:r>
          </w:p>
          <w:p>
            <w:pPr>
              <w:spacing w:line="360" w:lineRule="auto"/>
              <w:rPr>
                <w:rFonts w:hint="eastAsia" w:ascii="宋体" w:hAnsi="宋体" w:eastAsia="宋体" w:cs="宋体"/>
                <w:sz w:val="18"/>
                <w:szCs w:val="18"/>
              </w:rPr>
            </w:pPr>
            <w:r>
              <w:rPr>
                <w:rFonts w:hint="eastAsia" w:ascii="宋体" w:hAnsi="宋体" w:eastAsia="宋体" w:cs="宋体"/>
                <w:sz w:val="18"/>
                <w:szCs w:val="18"/>
              </w:rPr>
              <w:t>3、中层干部培训；</w:t>
            </w:r>
          </w:p>
          <w:p>
            <w:pPr>
              <w:spacing w:line="360" w:lineRule="auto"/>
              <w:rPr>
                <w:rFonts w:hint="eastAsia" w:ascii="宋体" w:hAnsi="宋体" w:eastAsia="宋体" w:cs="宋体"/>
                <w:sz w:val="18"/>
                <w:szCs w:val="18"/>
              </w:rPr>
            </w:pPr>
            <w:r>
              <w:rPr>
                <w:rFonts w:hint="eastAsia" w:ascii="宋体" w:hAnsi="宋体" w:eastAsia="宋体" w:cs="宋体"/>
                <w:sz w:val="18"/>
                <w:szCs w:val="18"/>
              </w:rPr>
              <w:t>4、违法乱纪纪录。</w:t>
            </w:r>
          </w:p>
        </w:tc>
        <w:tc>
          <w:tcPr>
            <w:tcW w:w="1900" w:type="dxa"/>
            <w:tcBorders>
              <w:tl2br w:val="nil"/>
              <w:tr2bl w:val="nil"/>
            </w:tcBorders>
            <w:shd w:val="clear" w:color="auto" w:fill="FFFFFF"/>
            <w:noWrap w:val="0"/>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绩效考核得分</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28" w:type="dxa"/>
            <w:left w:w="108" w:type="dxa"/>
            <w:bottom w:w="28" w:type="dxa"/>
            <w:right w:w="108" w:type="dxa"/>
          </w:tblCellMar>
        </w:tblPrEx>
        <w:trPr>
          <w:wBefore w:w="0" w:type="dxa"/>
          <w:wAfter w:w="0" w:type="dxa"/>
          <w:cantSplit/>
          <w:trHeight w:val="4068" w:hRule="atLeast"/>
          <w:jc w:val="center"/>
        </w:trPr>
        <w:tc>
          <w:tcPr>
            <w:tcW w:w="653" w:type="dxa"/>
            <w:vMerge w:val="continue"/>
            <w:tcBorders>
              <w:tl2br w:val="nil"/>
              <w:tr2bl w:val="nil"/>
            </w:tcBorders>
            <w:shd w:val="clear" w:color="auto" w:fill="auto"/>
            <w:noWrap w:val="0"/>
            <w:vAlign w:val="center"/>
          </w:tcPr>
          <w:p>
            <w:pPr>
              <w:adjustRightInd w:val="0"/>
              <w:spacing w:line="360" w:lineRule="auto"/>
              <w:jc w:val="center"/>
              <w:rPr>
                <w:rFonts w:hint="eastAsia" w:ascii="宋体" w:hAnsi="宋体" w:eastAsia="宋体" w:cs="宋体"/>
                <w:sz w:val="18"/>
                <w:szCs w:val="18"/>
              </w:rPr>
            </w:pPr>
          </w:p>
        </w:tc>
        <w:tc>
          <w:tcPr>
            <w:tcW w:w="1276" w:type="dxa"/>
            <w:tcBorders>
              <w:tl2br w:val="nil"/>
              <w:tr2bl w:val="nil"/>
            </w:tcBorders>
            <w:shd w:val="clear" w:color="auto" w:fill="FFFFFF"/>
            <w:noWrap w:val="0"/>
            <w:tcMar>
              <w:top w:w="28" w:type="dxa"/>
              <w:left w:w="0" w:type="dxa"/>
              <w:bottom w:w="28" w:type="dxa"/>
              <w:right w:w="0" w:type="dxa"/>
            </w:tcMar>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员工</w:t>
            </w:r>
          </w:p>
        </w:tc>
        <w:tc>
          <w:tcPr>
            <w:tcW w:w="1276" w:type="dxa"/>
            <w:tcBorders>
              <w:tl2br w:val="nil"/>
              <w:tr2bl w:val="nil"/>
            </w:tcBorders>
            <w:shd w:val="clear" w:color="auto" w:fill="FFFFFF"/>
            <w:noWrap w:val="0"/>
            <w:tcMar>
              <w:top w:w="28" w:type="dxa"/>
              <w:left w:w="0" w:type="dxa"/>
              <w:bottom w:w="28" w:type="dxa"/>
              <w:right w:w="0" w:type="dxa"/>
            </w:tcMar>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行政人事部</w:t>
            </w:r>
          </w:p>
        </w:tc>
        <w:tc>
          <w:tcPr>
            <w:tcW w:w="3741" w:type="dxa"/>
            <w:tcBorders>
              <w:tl2br w:val="nil"/>
              <w:tr2bl w:val="nil"/>
            </w:tcBorders>
            <w:shd w:val="clear" w:color="auto" w:fill="FFFFFF"/>
            <w:noWrap w:val="0"/>
            <w:vAlign w:val="center"/>
          </w:tcPr>
          <w:p>
            <w:pPr>
              <w:spacing w:line="360" w:lineRule="auto"/>
              <w:rPr>
                <w:rFonts w:hint="eastAsia" w:ascii="宋体" w:hAnsi="宋体" w:eastAsia="宋体" w:cs="宋体"/>
                <w:sz w:val="18"/>
                <w:szCs w:val="18"/>
              </w:rPr>
            </w:pPr>
            <w:r>
              <w:rPr>
                <w:rFonts w:hint="eastAsia" w:ascii="宋体" w:hAnsi="宋体" w:eastAsia="宋体" w:cs="宋体"/>
                <w:sz w:val="18"/>
                <w:szCs w:val="18"/>
              </w:rPr>
              <w:t>1、科学地选拔领导与员工；</w:t>
            </w:r>
          </w:p>
          <w:p>
            <w:pPr>
              <w:spacing w:line="360" w:lineRule="auto"/>
              <w:rPr>
                <w:rFonts w:hint="eastAsia" w:ascii="宋体" w:hAnsi="宋体" w:eastAsia="宋体" w:cs="宋体"/>
                <w:sz w:val="18"/>
                <w:szCs w:val="18"/>
              </w:rPr>
            </w:pPr>
            <w:r>
              <w:rPr>
                <w:rFonts w:hint="eastAsia" w:ascii="宋体" w:hAnsi="宋体" w:eastAsia="宋体" w:cs="宋体"/>
                <w:sz w:val="18"/>
                <w:szCs w:val="18"/>
              </w:rPr>
              <w:t>2、积极开展员工的定期培训；</w:t>
            </w:r>
          </w:p>
          <w:p>
            <w:pPr>
              <w:spacing w:line="360" w:lineRule="auto"/>
              <w:rPr>
                <w:rFonts w:hint="eastAsia" w:ascii="宋体" w:hAnsi="宋体" w:eastAsia="宋体" w:cs="宋体"/>
                <w:sz w:val="18"/>
                <w:szCs w:val="18"/>
              </w:rPr>
            </w:pPr>
            <w:r>
              <w:rPr>
                <w:rFonts w:hint="eastAsia" w:ascii="宋体" w:hAnsi="宋体" w:eastAsia="宋体" w:cs="宋体"/>
                <w:sz w:val="18"/>
                <w:szCs w:val="18"/>
              </w:rPr>
              <w:t>3、加强道德培训，提高员工的素质等；</w:t>
            </w:r>
          </w:p>
          <w:p>
            <w:pPr>
              <w:spacing w:line="360" w:lineRule="auto"/>
              <w:ind w:left="105" w:hanging="90" w:hangingChars="50"/>
              <w:rPr>
                <w:rFonts w:hint="eastAsia" w:ascii="宋体" w:hAnsi="宋体" w:eastAsia="宋体" w:cs="宋体"/>
                <w:sz w:val="18"/>
                <w:szCs w:val="18"/>
              </w:rPr>
            </w:pPr>
            <w:r>
              <w:rPr>
                <w:rFonts w:hint="eastAsia" w:ascii="宋体" w:hAnsi="宋体" w:eastAsia="宋体" w:cs="宋体"/>
                <w:sz w:val="18"/>
                <w:szCs w:val="18"/>
              </w:rPr>
              <w:t>4、制定《员工道德行为规范》，并进行轮训、学习；</w:t>
            </w:r>
          </w:p>
          <w:p>
            <w:pPr>
              <w:spacing w:line="360" w:lineRule="auto"/>
              <w:rPr>
                <w:rFonts w:hint="eastAsia" w:ascii="宋体" w:hAnsi="宋体" w:eastAsia="宋体" w:cs="宋体"/>
                <w:sz w:val="18"/>
                <w:szCs w:val="18"/>
              </w:rPr>
            </w:pPr>
            <w:r>
              <w:rPr>
                <w:rFonts w:hint="eastAsia" w:ascii="宋体" w:hAnsi="宋体" w:eastAsia="宋体" w:cs="宋体"/>
                <w:sz w:val="18"/>
                <w:szCs w:val="18"/>
              </w:rPr>
              <w:t>5、开展评先进活动；</w:t>
            </w:r>
          </w:p>
          <w:p>
            <w:pPr>
              <w:spacing w:line="360" w:lineRule="auto"/>
              <w:ind w:left="210" w:hanging="180" w:hangingChars="100"/>
              <w:rPr>
                <w:rFonts w:hint="eastAsia" w:ascii="宋体" w:hAnsi="宋体" w:eastAsia="宋体" w:cs="宋体"/>
                <w:sz w:val="18"/>
                <w:szCs w:val="18"/>
              </w:rPr>
            </w:pPr>
            <w:r>
              <w:rPr>
                <w:rFonts w:hint="eastAsia" w:ascii="宋体" w:hAnsi="宋体" w:eastAsia="宋体" w:cs="宋体"/>
                <w:sz w:val="18"/>
                <w:szCs w:val="18"/>
              </w:rPr>
              <w:t>6、制订《员工手册》《公司章程》，开展、岗前培训等。</w:t>
            </w:r>
          </w:p>
        </w:tc>
        <w:tc>
          <w:tcPr>
            <w:tcW w:w="1900" w:type="dxa"/>
            <w:tcBorders>
              <w:tl2br w:val="nil"/>
              <w:tr2bl w:val="nil"/>
            </w:tcBorders>
            <w:shd w:val="clear" w:color="auto" w:fill="FFFFFF"/>
            <w:noWrap w:val="0"/>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实行职工代表大会制度，调查员工满意度，员工培训时间等</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28" w:type="dxa"/>
            <w:left w:w="108" w:type="dxa"/>
            <w:bottom w:w="28" w:type="dxa"/>
            <w:right w:w="108" w:type="dxa"/>
          </w:tblCellMar>
        </w:tblPrEx>
        <w:trPr>
          <w:wBefore w:w="0" w:type="dxa"/>
          <w:wAfter w:w="0" w:type="dxa"/>
          <w:cantSplit/>
          <w:trHeight w:val="4107" w:hRule="atLeast"/>
          <w:jc w:val="center"/>
        </w:trPr>
        <w:tc>
          <w:tcPr>
            <w:tcW w:w="653" w:type="dxa"/>
            <w:tcBorders>
              <w:tl2br w:val="nil"/>
              <w:tr2bl w:val="nil"/>
            </w:tcBorders>
            <w:shd w:val="clear" w:color="auto" w:fill="FFFFFF"/>
            <w:noWrap w:val="0"/>
            <w:tcMar>
              <w:top w:w="28" w:type="dxa"/>
              <w:left w:w="0" w:type="dxa"/>
              <w:bottom w:w="28" w:type="dxa"/>
              <w:right w:w="0" w:type="dxa"/>
            </w:tcMar>
            <w:vAlign w:val="center"/>
          </w:tcPr>
          <w:p>
            <w:pPr>
              <w:adjustRightInd w:val="0"/>
              <w:spacing w:line="360" w:lineRule="auto"/>
              <w:jc w:val="center"/>
              <w:rPr>
                <w:rFonts w:hint="eastAsia" w:ascii="宋体" w:hAnsi="宋体" w:eastAsia="宋体" w:cs="宋体"/>
                <w:sz w:val="18"/>
                <w:szCs w:val="18"/>
              </w:rPr>
            </w:pPr>
            <w:r>
              <w:rPr>
                <w:rFonts w:hint="eastAsia" w:ascii="宋体" w:hAnsi="宋体" w:eastAsia="宋体" w:cs="宋体"/>
                <w:sz w:val="18"/>
                <w:szCs w:val="18"/>
              </w:rPr>
              <w:t>企业之间</w:t>
            </w:r>
          </w:p>
        </w:tc>
        <w:tc>
          <w:tcPr>
            <w:tcW w:w="1276" w:type="dxa"/>
            <w:tcBorders>
              <w:tl2br w:val="nil"/>
              <w:tr2bl w:val="nil"/>
            </w:tcBorders>
            <w:shd w:val="clear" w:color="auto" w:fill="FFFFFF"/>
            <w:noWrap w:val="0"/>
            <w:tcMar>
              <w:top w:w="28" w:type="dxa"/>
              <w:left w:w="0" w:type="dxa"/>
              <w:bottom w:w="28" w:type="dxa"/>
              <w:right w:w="0" w:type="dxa"/>
            </w:tcMar>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供应商</w:t>
            </w:r>
          </w:p>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经销商</w:t>
            </w:r>
          </w:p>
        </w:tc>
        <w:tc>
          <w:tcPr>
            <w:tcW w:w="1276" w:type="dxa"/>
            <w:tcBorders>
              <w:tl2br w:val="nil"/>
              <w:tr2bl w:val="nil"/>
            </w:tcBorders>
            <w:shd w:val="clear" w:color="auto" w:fill="FFFFFF"/>
            <w:noWrap w:val="0"/>
            <w:tcMar>
              <w:top w:w="28" w:type="dxa"/>
              <w:left w:w="0" w:type="dxa"/>
              <w:bottom w:w="28" w:type="dxa"/>
              <w:right w:w="0" w:type="dxa"/>
            </w:tcMar>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销售部</w:t>
            </w:r>
          </w:p>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采购部</w:t>
            </w:r>
          </w:p>
        </w:tc>
        <w:tc>
          <w:tcPr>
            <w:tcW w:w="3741" w:type="dxa"/>
            <w:tcBorders>
              <w:tl2br w:val="nil"/>
              <w:tr2bl w:val="nil"/>
            </w:tcBorders>
            <w:shd w:val="clear" w:color="auto" w:fill="FFFFFF"/>
            <w:noWrap w:val="0"/>
            <w:vAlign w:val="center"/>
          </w:tcPr>
          <w:p>
            <w:pPr>
              <w:spacing w:line="360" w:lineRule="auto"/>
              <w:rPr>
                <w:rFonts w:hint="eastAsia" w:ascii="宋体" w:hAnsi="宋体" w:eastAsia="宋体" w:cs="宋体"/>
                <w:sz w:val="18"/>
                <w:szCs w:val="18"/>
              </w:rPr>
            </w:pPr>
            <w:r>
              <w:rPr>
                <w:rFonts w:hint="eastAsia" w:ascii="宋体" w:hAnsi="宋体" w:eastAsia="宋体" w:cs="宋体"/>
                <w:sz w:val="18"/>
                <w:szCs w:val="18"/>
              </w:rPr>
              <w:t>1、严格按照公司制定的《合同处理控制程序》、《采购管理制度》等规章制度与供应商和经销商展开业务关系；</w:t>
            </w:r>
          </w:p>
          <w:p>
            <w:pPr>
              <w:spacing w:line="360" w:lineRule="auto"/>
              <w:rPr>
                <w:rFonts w:hint="eastAsia" w:ascii="宋体" w:hAnsi="宋体" w:eastAsia="宋体" w:cs="宋体"/>
                <w:sz w:val="18"/>
                <w:szCs w:val="18"/>
              </w:rPr>
            </w:pPr>
            <w:r>
              <w:rPr>
                <w:rFonts w:hint="eastAsia" w:ascii="宋体" w:hAnsi="宋体" w:eastAsia="宋体" w:cs="宋体"/>
                <w:sz w:val="18"/>
                <w:szCs w:val="18"/>
              </w:rPr>
              <w:t>2、价格适中、交货准时、产品质量稳定、及时交付；</w:t>
            </w:r>
          </w:p>
          <w:p>
            <w:pPr>
              <w:spacing w:line="360" w:lineRule="auto"/>
              <w:rPr>
                <w:rFonts w:hint="eastAsia" w:ascii="宋体" w:hAnsi="宋体" w:eastAsia="宋体" w:cs="宋体"/>
                <w:sz w:val="18"/>
                <w:szCs w:val="18"/>
              </w:rPr>
            </w:pPr>
            <w:r>
              <w:rPr>
                <w:rFonts w:hint="eastAsia" w:ascii="宋体" w:hAnsi="宋体" w:eastAsia="宋体" w:cs="宋体"/>
                <w:sz w:val="18"/>
                <w:szCs w:val="18"/>
              </w:rPr>
              <w:t>3、加强产品质量控制，提高优质产品，及时应对顾客投诉等；</w:t>
            </w:r>
          </w:p>
          <w:p>
            <w:pPr>
              <w:spacing w:line="360" w:lineRule="auto"/>
              <w:rPr>
                <w:rFonts w:hint="eastAsia" w:ascii="宋体" w:hAnsi="宋体" w:eastAsia="宋体" w:cs="宋体"/>
                <w:sz w:val="18"/>
                <w:szCs w:val="18"/>
              </w:rPr>
            </w:pPr>
            <w:r>
              <w:rPr>
                <w:rFonts w:hint="eastAsia" w:ascii="宋体" w:hAnsi="宋体" w:eastAsia="宋体" w:cs="宋体"/>
                <w:sz w:val="18"/>
                <w:szCs w:val="18"/>
              </w:rPr>
              <w:t>4、在采购上实行公开、公平、公正的“招标采购”制度。</w:t>
            </w:r>
          </w:p>
        </w:tc>
        <w:tc>
          <w:tcPr>
            <w:tcW w:w="1900" w:type="dxa"/>
            <w:tcBorders>
              <w:tl2br w:val="nil"/>
              <w:tr2bl w:val="nil"/>
            </w:tcBorders>
            <w:shd w:val="clear" w:color="auto" w:fill="FFFFFF"/>
            <w:noWrap w:val="0"/>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合同违约率，索赔金额，顾客满意度等</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28" w:type="dxa"/>
            <w:left w:w="108" w:type="dxa"/>
            <w:bottom w:w="28" w:type="dxa"/>
            <w:right w:w="108" w:type="dxa"/>
          </w:tblCellMar>
        </w:tblPrEx>
        <w:trPr>
          <w:wBefore w:w="0" w:type="dxa"/>
          <w:wAfter w:w="0" w:type="dxa"/>
          <w:cantSplit/>
          <w:trHeight w:val="745" w:hRule="atLeast"/>
          <w:jc w:val="center"/>
        </w:trPr>
        <w:tc>
          <w:tcPr>
            <w:tcW w:w="653" w:type="dxa"/>
            <w:vMerge w:val="restart"/>
            <w:tcBorders>
              <w:tl2br w:val="nil"/>
              <w:tr2bl w:val="nil"/>
            </w:tcBorders>
            <w:shd w:val="clear" w:color="auto" w:fill="FFFFFF"/>
            <w:noWrap w:val="0"/>
            <w:tcMar>
              <w:top w:w="28" w:type="dxa"/>
              <w:left w:w="0" w:type="dxa"/>
              <w:bottom w:w="28" w:type="dxa"/>
              <w:right w:w="0" w:type="dxa"/>
            </w:tcMar>
            <w:vAlign w:val="center"/>
          </w:tcPr>
          <w:p>
            <w:pPr>
              <w:adjustRightInd w:val="0"/>
              <w:spacing w:line="360" w:lineRule="auto"/>
              <w:jc w:val="center"/>
              <w:rPr>
                <w:rFonts w:hint="eastAsia" w:ascii="宋体" w:hAnsi="宋体" w:eastAsia="宋体" w:cs="宋体"/>
                <w:sz w:val="18"/>
                <w:szCs w:val="18"/>
              </w:rPr>
            </w:pPr>
            <w:r>
              <w:rPr>
                <w:rFonts w:hint="eastAsia" w:ascii="宋体" w:hAnsi="宋体" w:eastAsia="宋体" w:cs="宋体"/>
                <w:sz w:val="18"/>
                <w:szCs w:val="18"/>
              </w:rPr>
              <w:t>企业外部</w:t>
            </w:r>
          </w:p>
        </w:tc>
        <w:tc>
          <w:tcPr>
            <w:tcW w:w="1276" w:type="dxa"/>
            <w:tcBorders>
              <w:tl2br w:val="nil"/>
              <w:tr2bl w:val="nil"/>
            </w:tcBorders>
            <w:shd w:val="clear" w:color="auto" w:fill="FFFFFF"/>
            <w:noWrap w:val="0"/>
            <w:tcMar>
              <w:top w:w="28" w:type="dxa"/>
              <w:left w:w="0" w:type="dxa"/>
              <w:bottom w:w="28" w:type="dxa"/>
              <w:right w:w="0" w:type="dxa"/>
            </w:tcMar>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股东</w:t>
            </w:r>
          </w:p>
        </w:tc>
        <w:tc>
          <w:tcPr>
            <w:tcW w:w="1276" w:type="dxa"/>
            <w:vMerge w:val="restart"/>
            <w:tcBorders>
              <w:tl2br w:val="nil"/>
              <w:tr2bl w:val="nil"/>
            </w:tcBorders>
            <w:shd w:val="clear" w:color="auto" w:fill="FFFFFF"/>
            <w:noWrap w:val="0"/>
            <w:tcMar>
              <w:top w:w="28" w:type="dxa"/>
              <w:left w:w="0" w:type="dxa"/>
              <w:bottom w:w="28" w:type="dxa"/>
              <w:right w:w="0" w:type="dxa"/>
            </w:tcMar>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财务部</w:t>
            </w:r>
          </w:p>
        </w:tc>
        <w:tc>
          <w:tcPr>
            <w:tcW w:w="3741" w:type="dxa"/>
            <w:tcBorders>
              <w:tl2br w:val="nil"/>
              <w:tr2bl w:val="nil"/>
            </w:tcBorders>
            <w:shd w:val="clear" w:color="auto" w:fill="FFFFFF"/>
            <w:noWrap w:val="0"/>
            <w:vAlign w:val="center"/>
          </w:tcPr>
          <w:p>
            <w:pPr>
              <w:spacing w:line="360" w:lineRule="auto"/>
              <w:rPr>
                <w:rFonts w:hint="eastAsia" w:ascii="宋体" w:hAnsi="宋体" w:eastAsia="宋体" w:cs="宋体"/>
                <w:sz w:val="18"/>
                <w:szCs w:val="18"/>
              </w:rPr>
            </w:pPr>
            <w:r>
              <w:rPr>
                <w:rFonts w:hint="eastAsia" w:ascii="宋体" w:hAnsi="宋体" w:eastAsia="宋体" w:cs="宋体"/>
                <w:sz w:val="18"/>
                <w:szCs w:val="18"/>
              </w:rPr>
              <w:t>按照</w:t>
            </w:r>
            <w:r>
              <w:rPr>
                <w:rFonts w:hint="eastAsia" w:ascii="宋体" w:hAnsi="宋体" w:eastAsia="宋体" w:cs="宋体"/>
                <w:sz w:val="18"/>
                <w:szCs w:val="18"/>
                <w:lang w:eastAsia="zh-CN"/>
              </w:rPr>
              <w:t>公司</w:t>
            </w:r>
            <w:r>
              <w:rPr>
                <w:rFonts w:hint="eastAsia" w:ascii="宋体" w:hAnsi="宋体" w:eastAsia="宋体" w:cs="宋体"/>
                <w:sz w:val="18"/>
                <w:szCs w:val="18"/>
              </w:rPr>
              <w:t>要求确保信息披露的及时性和透明性，接受股东及公众监督</w:t>
            </w:r>
          </w:p>
        </w:tc>
        <w:tc>
          <w:tcPr>
            <w:tcW w:w="1900" w:type="dxa"/>
            <w:tcBorders>
              <w:tl2br w:val="nil"/>
              <w:tr2bl w:val="nil"/>
            </w:tcBorders>
            <w:shd w:val="clear" w:color="auto" w:fill="FFFFFF"/>
            <w:noWrap w:val="0"/>
            <w:vAlign w:val="center"/>
          </w:tcPr>
          <w:p>
            <w:pPr>
              <w:spacing w:line="360" w:lineRule="auto"/>
              <w:rPr>
                <w:rFonts w:hint="eastAsia" w:ascii="宋体" w:hAnsi="宋体" w:eastAsia="宋体" w:cs="宋体"/>
                <w:sz w:val="18"/>
                <w:szCs w:val="18"/>
              </w:rPr>
            </w:pPr>
            <w:r>
              <w:rPr>
                <w:rFonts w:hint="eastAsia" w:ascii="宋体" w:hAnsi="宋体" w:eastAsia="宋体" w:cs="宋体"/>
                <w:sz w:val="18"/>
                <w:szCs w:val="18"/>
              </w:rPr>
              <w:t>重大信息披露及时性与准确性</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28" w:type="dxa"/>
            <w:left w:w="108" w:type="dxa"/>
            <w:bottom w:w="28" w:type="dxa"/>
            <w:right w:w="108" w:type="dxa"/>
          </w:tblCellMar>
        </w:tblPrEx>
        <w:trPr>
          <w:wBefore w:w="0" w:type="dxa"/>
          <w:wAfter w:w="0" w:type="dxa"/>
          <w:cantSplit/>
          <w:trHeight w:val="745" w:hRule="atLeast"/>
          <w:jc w:val="center"/>
        </w:trPr>
        <w:tc>
          <w:tcPr>
            <w:tcW w:w="653" w:type="dxa"/>
            <w:vMerge w:val="continue"/>
            <w:tcBorders>
              <w:tl2br w:val="nil"/>
              <w:tr2bl w:val="nil"/>
            </w:tcBorders>
            <w:shd w:val="clear" w:color="auto" w:fill="FFFFFF"/>
            <w:noWrap w:val="0"/>
            <w:tcMar>
              <w:top w:w="28" w:type="dxa"/>
              <w:left w:w="0" w:type="dxa"/>
              <w:bottom w:w="28" w:type="dxa"/>
              <w:right w:w="0" w:type="dxa"/>
            </w:tcMar>
            <w:vAlign w:val="center"/>
          </w:tcPr>
          <w:p>
            <w:pPr>
              <w:adjustRightInd w:val="0"/>
              <w:spacing w:line="360" w:lineRule="auto"/>
              <w:jc w:val="center"/>
              <w:rPr>
                <w:rFonts w:hint="eastAsia" w:ascii="宋体" w:hAnsi="宋体" w:eastAsia="宋体" w:cs="宋体"/>
                <w:sz w:val="18"/>
                <w:szCs w:val="18"/>
              </w:rPr>
            </w:pPr>
          </w:p>
        </w:tc>
        <w:tc>
          <w:tcPr>
            <w:tcW w:w="1276" w:type="dxa"/>
            <w:tcBorders>
              <w:tl2br w:val="nil"/>
              <w:tr2bl w:val="nil"/>
            </w:tcBorders>
            <w:shd w:val="clear" w:color="auto" w:fill="FFFFFF"/>
            <w:noWrap w:val="0"/>
            <w:tcMar>
              <w:top w:w="28" w:type="dxa"/>
              <w:left w:w="0" w:type="dxa"/>
              <w:bottom w:w="28" w:type="dxa"/>
              <w:right w:w="0" w:type="dxa"/>
            </w:tcMar>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政府</w:t>
            </w:r>
          </w:p>
        </w:tc>
        <w:tc>
          <w:tcPr>
            <w:tcW w:w="1276" w:type="dxa"/>
            <w:vMerge w:val="continue"/>
            <w:tcBorders>
              <w:tl2br w:val="nil"/>
              <w:tr2bl w:val="nil"/>
            </w:tcBorders>
            <w:shd w:val="clear" w:color="auto" w:fill="FFFFFF"/>
            <w:noWrap w:val="0"/>
            <w:tcMar>
              <w:top w:w="28" w:type="dxa"/>
              <w:left w:w="0" w:type="dxa"/>
              <w:bottom w:w="28" w:type="dxa"/>
              <w:right w:w="0" w:type="dxa"/>
            </w:tcMar>
            <w:vAlign w:val="center"/>
          </w:tcPr>
          <w:p>
            <w:pPr>
              <w:spacing w:line="360" w:lineRule="auto"/>
              <w:jc w:val="center"/>
              <w:rPr>
                <w:rFonts w:hint="eastAsia" w:ascii="宋体" w:hAnsi="宋体" w:eastAsia="宋体" w:cs="宋体"/>
                <w:sz w:val="18"/>
                <w:szCs w:val="18"/>
              </w:rPr>
            </w:pPr>
          </w:p>
        </w:tc>
        <w:tc>
          <w:tcPr>
            <w:tcW w:w="3741" w:type="dxa"/>
            <w:tcBorders>
              <w:tl2br w:val="nil"/>
              <w:tr2bl w:val="nil"/>
            </w:tcBorders>
            <w:shd w:val="clear" w:color="auto" w:fill="FFFFFF"/>
            <w:noWrap w:val="0"/>
            <w:vAlign w:val="center"/>
          </w:tcPr>
          <w:p>
            <w:pPr>
              <w:spacing w:line="360" w:lineRule="auto"/>
              <w:rPr>
                <w:rFonts w:hint="eastAsia" w:ascii="宋体" w:hAnsi="宋体" w:eastAsia="宋体" w:cs="宋体"/>
                <w:sz w:val="18"/>
                <w:szCs w:val="18"/>
              </w:rPr>
            </w:pPr>
            <w:r>
              <w:rPr>
                <w:rFonts w:hint="eastAsia" w:ascii="宋体" w:hAnsi="宋体" w:eastAsia="宋体" w:cs="宋体"/>
                <w:sz w:val="18"/>
                <w:szCs w:val="18"/>
              </w:rPr>
              <w:t>1、依法纳税、廉洁自律；</w:t>
            </w:r>
          </w:p>
          <w:p>
            <w:pPr>
              <w:spacing w:line="360" w:lineRule="auto"/>
              <w:rPr>
                <w:rFonts w:hint="eastAsia" w:ascii="宋体" w:hAnsi="宋体" w:eastAsia="宋体" w:cs="宋体"/>
                <w:sz w:val="18"/>
                <w:szCs w:val="18"/>
              </w:rPr>
            </w:pPr>
            <w:r>
              <w:rPr>
                <w:rFonts w:hint="eastAsia" w:ascii="宋体" w:hAnsi="宋体" w:eastAsia="宋体" w:cs="宋体"/>
                <w:sz w:val="18"/>
                <w:szCs w:val="18"/>
              </w:rPr>
              <w:t>2、严格按照国家的税法、会计法等法律法规进行操作等。</w:t>
            </w:r>
          </w:p>
        </w:tc>
        <w:tc>
          <w:tcPr>
            <w:tcW w:w="1900" w:type="dxa"/>
            <w:tcBorders>
              <w:tl2br w:val="nil"/>
              <w:tr2bl w:val="nil"/>
            </w:tcBorders>
            <w:shd w:val="clear" w:color="auto" w:fill="FFFFFF"/>
            <w:noWrap w:val="0"/>
            <w:vAlign w:val="center"/>
          </w:tcPr>
          <w:p>
            <w:pPr>
              <w:spacing w:line="360" w:lineRule="auto"/>
              <w:rPr>
                <w:rFonts w:hint="eastAsia" w:ascii="宋体" w:hAnsi="宋体" w:eastAsia="宋体" w:cs="宋体"/>
                <w:sz w:val="18"/>
                <w:szCs w:val="18"/>
              </w:rPr>
            </w:pPr>
            <w:r>
              <w:rPr>
                <w:rFonts w:hint="eastAsia" w:ascii="宋体" w:hAnsi="宋体" w:eastAsia="宋体" w:cs="宋体"/>
                <w:sz w:val="18"/>
                <w:szCs w:val="18"/>
              </w:rPr>
              <w:t>纳税金额等</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28" w:type="dxa"/>
            <w:left w:w="108" w:type="dxa"/>
            <w:bottom w:w="28" w:type="dxa"/>
            <w:right w:w="108" w:type="dxa"/>
          </w:tblCellMar>
        </w:tblPrEx>
        <w:trPr>
          <w:wBefore w:w="0" w:type="dxa"/>
          <w:wAfter w:w="0" w:type="dxa"/>
          <w:cantSplit/>
          <w:trHeight w:val="359" w:hRule="atLeast"/>
          <w:jc w:val="center"/>
        </w:trPr>
        <w:tc>
          <w:tcPr>
            <w:tcW w:w="653" w:type="dxa"/>
            <w:vMerge w:val="continue"/>
            <w:tcBorders>
              <w:tl2br w:val="nil"/>
              <w:tr2bl w:val="nil"/>
            </w:tcBorders>
            <w:shd w:val="clear" w:color="auto" w:fill="auto"/>
            <w:noWrap w:val="0"/>
            <w:vAlign w:val="center"/>
          </w:tcPr>
          <w:p>
            <w:pPr>
              <w:adjustRightInd w:val="0"/>
              <w:spacing w:line="360" w:lineRule="auto"/>
              <w:jc w:val="center"/>
              <w:rPr>
                <w:rFonts w:hint="eastAsia" w:ascii="宋体" w:hAnsi="宋体" w:eastAsia="宋体" w:cs="宋体"/>
                <w:sz w:val="18"/>
                <w:szCs w:val="18"/>
              </w:rPr>
            </w:pPr>
          </w:p>
        </w:tc>
        <w:tc>
          <w:tcPr>
            <w:tcW w:w="1276" w:type="dxa"/>
            <w:tcBorders>
              <w:tl2br w:val="nil"/>
              <w:tr2bl w:val="nil"/>
            </w:tcBorders>
            <w:shd w:val="clear" w:color="auto" w:fill="FFFFFF"/>
            <w:noWrap w:val="0"/>
            <w:tcMar>
              <w:top w:w="28" w:type="dxa"/>
              <w:left w:w="0" w:type="dxa"/>
              <w:bottom w:w="28" w:type="dxa"/>
              <w:right w:w="0" w:type="dxa"/>
            </w:tcMar>
            <w:vAlign w:val="top"/>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银行</w:t>
            </w:r>
          </w:p>
        </w:tc>
        <w:tc>
          <w:tcPr>
            <w:tcW w:w="1276" w:type="dxa"/>
            <w:vMerge w:val="continue"/>
            <w:tcBorders>
              <w:tl2br w:val="nil"/>
              <w:tr2bl w:val="nil"/>
            </w:tcBorders>
            <w:shd w:val="clear" w:color="auto" w:fill="FFFFFF"/>
            <w:noWrap w:val="0"/>
            <w:tcMar>
              <w:top w:w="28" w:type="dxa"/>
              <w:left w:w="0" w:type="dxa"/>
              <w:bottom w:w="28" w:type="dxa"/>
              <w:right w:w="0" w:type="dxa"/>
            </w:tcMar>
            <w:vAlign w:val="top"/>
          </w:tcPr>
          <w:p>
            <w:pPr>
              <w:spacing w:line="360" w:lineRule="auto"/>
              <w:jc w:val="center"/>
              <w:rPr>
                <w:rFonts w:hint="eastAsia" w:ascii="宋体" w:hAnsi="宋体" w:eastAsia="宋体" w:cs="宋体"/>
                <w:sz w:val="18"/>
                <w:szCs w:val="18"/>
              </w:rPr>
            </w:pPr>
          </w:p>
        </w:tc>
        <w:tc>
          <w:tcPr>
            <w:tcW w:w="3741" w:type="dxa"/>
            <w:tcBorders>
              <w:tl2br w:val="nil"/>
              <w:tr2bl w:val="nil"/>
            </w:tcBorders>
            <w:shd w:val="clear" w:color="auto" w:fill="FFFFFF"/>
            <w:noWrap w:val="0"/>
            <w:vAlign w:val="center"/>
          </w:tcPr>
          <w:p>
            <w:pPr>
              <w:spacing w:line="360" w:lineRule="auto"/>
              <w:rPr>
                <w:rFonts w:hint="eastAsia" w:ascii="宋体" w:hAnsi="宋体" w:eastAsia="宋体" w:cs="宋体"/>
                <w:sz w:val="18"/>
                <w:szCs w:val="18"/>
              </w:rPr>
            </w:pPr>
            <w:r>
              <w:rPr>
                <w:rFonts w:hint="eastAsia" w:ascii="宋体" w:hAnsi="宋体" w:eastAsia="宋体" w:cs="宋体"/>
                <w:sz w:val="18"/>
                <w:szCs w:val="18"/>
              </w:rPr>
              <w:t>内部及外来会计事务所审计。</w:t>
            </w:r>
          </w:p>
        </w:tc>
        <w:tc>
          <w:tcPr>
            <w:tcW w:w="1900" w:type="dxa"/>
            <w:tcBorders>
              <w:tl2br w:val="nil"/>
              <w:tr2bl w:val="nil"/>
            </w:tcBorders>
            <w:shd w:val="clear" w:color="auto" w:fill="FFFFFF"/>
            <w:noWrap w:val="0"/>
            <w:vAlign w:val="top"/>
          </w:tcPr>
          <w:p>
            <w:pPr>
              <w:spacing w:line="360" w:lineRule="auto"/>
              <w:rPr>
                <w:rFonts w:hint="eastAsia" w:ascii="宋体" w:hAnsi="宋体" w:eastAsia="宋体" w:cs="宋体"/>
                <w:sz w:val="18"/>
                <w:szCs w:val="18"/>
              </w:rPr>
            </w:pPr>
            <w:r>
              <w:rPr>
                <w:rFonts w:hint="eastAsia" w:ascii="宋体" w:hAnsi="宋体" w:eastAsia="宋体" w:cs="宋体"/>
                <w:sz w:val="18"/>
                <w:szCs w:val="18"/>
              </w:rPr>
              <w:t>账本的准确度</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28" w:type="dxa"/>
            <w:left w:w="108" w:type="dxa"/>
            <w:bottom w:w="28" w:type="dxa"/>
            <w:right w:w="108" w:type="dxa"/>
          </w:tblCellMar>
        </w:tblPrEx>
        <w:trPr>
          <w:wBefore w:w="0" w:type="dxa"/>
          <w:wAfter w:w="0" w:type="dxa"/>
          <w:cantSplit/>
          <w:trHeight w:val="1191" w:hRule="atLeast"/>
          <w:jc w:val="center"/>
        </w:trPr>
        <w:tc>
          <w:tcPr>
            <w:tcW w:w="653" w:type="dxa"/>
            <w:vMerge w:val="continue"/>
            <w:tcBorders>
              <w:tl2br w:val="nil"/>
              <w:tr2bl w:val="nil"/>
            </w:tcBorders>
            <w:shd w:val="clear" w:color="auto" w:fill="auto"/>
            <w:noWrap w:val="0"/>
            <w:vAlign w:val="center"/>
          </w:tcPr>
          <w:p>
            <w:pPr>
              <w:adjustRightInd w:val="0"/>
              <w:spacing w:line="360" w:lineRule="auto"/>
              <w:jc w:val="center"/>
              <w:rPr>
                <w:rFonts w:hint="eastAsia" w:ascii="宋体" w:hAnsi="宋体" w:eastAsia="宋体" w:cs="宋体"/>
                <w:sz w:val="18"/>
                <w:szCs w:val="18"/>
              </w:rPr>
            </w:pPr>
          </w:p>
        </w:tc>
        <w:tc>
          <w:tcPr>
            <w:tcW w:w="1276" w:type="dxa"/>
            <w:tcBorders>
              <w:tl2br w:val="nil"/>
              <w:tr2bl w:val="nil"/>
            </w:tcBorders>
            <w:shd w:val="clear" w:color="auto" w:fill="FFFFFF"/>
            <w:noWrap w:val="0"/>
            <w:tcMar>
              <w:top w:w="28" w:type="dxa"/>
              <w:left w:w="0" w:type="dxa"/>
              <w:bottom w:w="28" w:type="dxa"/>
              <w:right w:w="0" w:type="dxa"/>
            </w:tcMar>
            <w:vAlign w:val="center"/>
          </w:tcPr>
          <w:p>
            <w:pPr>
              <w:spacing w:line="360" w:lineRule="auto"/>
              <w:jc w:val="center"/>
              <w:rPr>
                <w:rFonts w:hint="eastAsia" w:ascii="宋体" w:hAnsi="宋体" w:eastAsia="宋体" w:cs="宋体"/>
                <w:sz w:val="18"/>
                <w:szCs w:val="18"/>
              </w:rPr>
            </w:pPr>
            <w:r>
              <w:rPr>
                <w:rFonts w:hint="eastAsia" w:ascii="宋体" w:hAnsi="宋体" w:eastAsia="宋体" w:cs="宋体"/>
                <w:sz w:val="18"/>
                <w:szCs w:val="18"/>
              </w:rPr>
              <w:t>社会公众</w:t>
            </w:r>
          </w:p>
        </w:tc>
        <w:tc>
          <w:tcPr>
            <w:tcW w:w="1276" w:type="dxa"/>
            <w:vMerge w:val="continue"/>
            <w:tcBorders>
              <w:tl2br w:val="nil"/>
              <w:tr2bl w:val="nil"/>
            </w:tcBorders>
            <w:shd w:val="clear" w:color="auto" w:fill="FFFFFF"/>
            <w:noWrap w:val="0"/>
            <w:tcMar>
              <w:top w:w="28" w:type="dxa"/>
              <w:left w:w="0" w:type="dxa"/>
              <w:bottom w:w="28" w:type="dxa"/>
              <w:right w:w="0" w:type="dxa"/>
            </w:tcMar>
            <w:vAlign w:val="center"/>
          </w:tcPr>
          <w:p>
            <w:pPr>
              <w:spacing w:line="360" w:lineRule="auto"/>
              <w:jc w:val="center"/>
              <w:rPr>
                <w:rFonts w:hint="eastAsia" w:ascii="宋体" w:hAnsi="宋体" w:eastAsia="宋体" w:cs="宋体"/>
                <w:sz w:val="18"/>
                <w:szCs w:val="18"/>
              </w:rPr>
            </w:pPr>
          </w:p>
        </w:tc>
        <w:tc>
          <w:tcPr>
            <w:tcW w:w="3741" w:type="dxa"/>
            <w:tcBorders>
              <w:tl2br w:val="nil"/>
              <w:tr2bl w:val="nil"/>
            </w:tcBorders>
            <w:shd w:val="clear" w:color="auto" w:fill="FFFFFF"/>
            <w:noWrap w:val="0"/>
            <w:vAlign w:val="center"/>
          </w:tcPr>
          <w:p>
            <w:pPr>
              <w:spacing w:line="360" w:lineRule="auto"/>
              <w:rPr>
                <w:rFonts w:hint="eastAsia" w:ascii="宋体" w:hAnsi="宋体" w:eastAsia="宋体" w:cs="宋体"/>
                <w:sz w:val="18"/>
                <w:szCs w:val="18"/>
              </w:rPr>
            </w:pPr>
            <w:r>
              <w:rPr>
                <w:rFonts w:hint="eastAsia" w:ascii="宋体" w:hAnsi="宋体" w:eastAsia="宋体" w:cs="宋体"/>
                <w:sz w:val="18"/>
                <w:szCs w:val="18"/>
              </w:rPr>
              <w:t>1、诚信经营、保护公众利益；</w:t>
            </w:r>
          </w:p>
          <w:p>
            <w:pPr>
              <w:spacing w:line="360" w:lineRule="auto"/>
              <w:rPr>
                <w:rFonts w:hint="eastAsia" w:ascii="宋体" w:hAnsi="宋体" w:eastAsia="宋体" w:cs="宋体"/>
                <w:sz w:val="18"/>
                <w:szCs w:val="18"/>
              </w:rPr>
            </w:pPr>
            <w:r>
              <w:rPr>
                <w:rFonts w:hint="eastAsia" w:ascii="宋体" w:hAnsi="宋体" w:eastAsia="宋体" w:cs="宋体"/>
                <w:sz w:val="18"/>
                <w:szCs w:val="18"/>
              </w:rPr>
              <w:t>2、开展清洁生产，保护环境等。</w:t>
            </w:r>
          </w:p>
        </w:tc>
        <w:tc>
          <w:tcPr>
            <w:tcW w:w="1900" w:type="dxa"/>
            <w:tcBorders>
              <w:tl2br w:val="nil"/>
              <w:tr2bl w:val="nil"/>
            </w:tcBorders>
            <w:shd w:val="clear" w:color="auto" w:fill="FFFFFF"/>
            <w:noWrap w:val="0"/>
            <w:vAlign w:val="center"/>
          </w:tcPr>
          <w:p>
            <w:pPr>
              <w:spacing w:line="360" w:lineRule="auto"/>
              <w:rPr>
                <w:rFonts w:hint="eastAsia" w:ascii="宋体" w:hAnsi="宋体" w:eastAsia="宋体" w:cs="宋体"/>
                <w:sz w:val="18"/>
                <w:szCs w:val="18"/>
              </w:rPr>
            </w:pPr>
            <w:r>
              <w:rPr>
                <w:rFonts w:hint="eastAsia" w:ascii="宋体" w:hAnsi="宋体" w:eastAsia="宋体" w:cs="宋体"/>
                <w:sz w:val="18"/>
                <w:szCs w:val="18"/>
              </w:rPr>
              <w:t>捐赠金额等</w:t>
            </w:r>
          </w:p>
        </w:tc>
      </w:tr>
    </w:tbl>
    <w:p>
      <w:pPr>
        <w:spacing w:line="360" w:lineRule="auto"/>
        <w:ind w:firstLine="485" w:firstLineChars="202"/>
        <w:rPr>
          <w:rFonts w:ascii="宋体" w:hAnsi="宋体"/>
          <w:sz w:val="24"/>
        </w:rPr>
      </w:pPr>
      <w:r>
        <w:rPr>
          <w:rFonts w:hint="eastAsia" w:ascii="宋体" w:hAnsi="宋体"/>
          <w:b/>
          <w:sz w:val="24"/>
        </w:rPr>
        <w:t>质量安全方面</w:t>
      </w:r>
      <w:r>
        <w:rPr>
          <w:rFonts w:hint="eastAsia" w:ascii="宋体" w:hAnsi="宋体"/>
          <w:sz w:val="24"/>
        </w:rPr>
        <w:t>：公司本着</w:t>
      </w:r>
      <w:r>
        <w:rPr>
          <w:rFonts w:hint="eastAsia" w:ascii="宋体" w:hAnsi="宋体" w:eastAsia="Calibri" w:cs="Times New Roman"/>
          <w:sz w:val="24"/>
        </w:rPr>
        <w:t>“</w:t>
      </w:r>
      <w:r>
        <w:rPr>
          <w:rFonts w:hint="eastAsia" w:ascii="宋体" w:hAnsi="宋体" w:eastAsia="Calibri" w:cs="Times New Roman"/>
          <w:sz w:val="24"/>
          <w:lang w:val="en-US" w:eastAsia="zh-CN"/>
        </w:rPr>
        <w:t>安全守法，科学管理；优质服务，和谐发展</w:t>
      </w:r>
      <w:r>
        <w:rPr>
          <w:rFonts w:hint="eastAsia" w:ascii="宋体" w:hAnsi="宋体" w:eastAsia="Calibri" w:cs="Times New Roman"/>
          <w:sz w:val="24"/>
        </w:rPr>
        <w:t>”的</w:t>
      </w:r>
      <w:r>
        <w:rPr>
          <w:rFonts w:hint="eastAsia" w:ascii="宋体" w:hAnsi="宋体"/>
          <w:sz w:val="24"/>
        </w:rPr>
        <w:t>质量方针，积极履行质量安全职责，严格执行行业标准和法律法规，定期通过ISO9001：2015质量管理体系复审，建立健全公司的质量管理体系和质量保证体系，使</w:t>
      </w:r>
      <w:r>
        <w:rPr>
          <w:rFonts w:hint="eastAsia" w:ascii="宋体" w:hAnsi="宋体"/>
          <w:sz w:val="24"/>
          <w:szCs w:val="24"/>
          <w:lang w:val="en-US" w:eastAsia="zh-CN"/>
        </w:rPr>
        <w:t>浙江华晟</w:t>
      </w:r>
      <w:r>
        <w:rPr>
          <w:rFonts w:hint="eastAsia" w:ascii="宋体" w:hAnsi="宋体"/>
          <w:sz w:val="24"/>
        </w:rPr>
        <w:t>的质量管理和质量保证体系持续完善。公司始终坚信优越的性能和可靠的产品质量是产品竞争力的关键。质量形成于产品寿命周期的全过程，包括</w:t>
      </w:r>
      <w:r>
        <w:rPr>
          <w:rFonts w:hint="eastAsia" w:ascii="宋体" w:hAnsi="宋体" w:eastAsia="宋体"/>
          <w:sz w:val="24"/>
          <w:lang w:val="en-US" w:eastAsia="zh-CN"/>
        </w:rPr>
        <w:t>设计研发</w:t>
      </w:r>
      <w:r>
        <w:rPr>
          <w:rFonts w:hint="eastAsia" w:ascii="宋体" w:hAnsi="宋体"/>
          <w:sz w:val="24"/>
        </w:rPr>
        <w:t>、试制、试验、制造、分销、服务和使用全过程。因此，必须对产品寿命周期全过程中影响产品质量的各种因素，始终处于受控状态；必须实行全流程的、全员参加的全面质量管理，使公司有能力持续提供符合质量标准和顾客满意的产品，树立品质超群的企业形象，全心全意地为顾客服务。</w:t>
      </w:r>
    </w:p>
    <w:p>
      <w:pPr>
        <w:spacing w:line="360" w:lineRule="auto"/>
        <w:ind w:firstLine="480" w:firstLineChars="200"/>
        <w:rPr>
          <w:rFonts w:hint="eastAsia" w:ascii="宋体" w:hAnsi="宋体"/>
          <w:sz w:val="24"/>
        </w:rPr>
      </w:pPr>
      <w:r>
        <w:rPr>
          <w:rFonts w:hint="eastAsia" w:ascii="宋体" w:hAnsi="宋体"/>
          <w:b/>
          <w:sz w:val="24"/>
        </w:rPr>
        <w:t>环境保护方面</w:t>
      </w:r>
      <w:r>
        <w:rPr>
          <w:rFonts w:hint="eastAsia" w:ascii="宋体" w:hAnsi="宋体"/>
          <w:sz w:val="24"/>
        </w:rPr>
        <w:t>：自实施</w:t>
      </w:r>
      <w:r>
        <w:rPr>
          <w:rFonts w:hint="eastAsia" w:ascii="宋体" w:hAnsi="宋体"/>
          <w:sz w:val="24"/>
          <w:lang w:val="en-US" w:eastAsia="zh-CN"/>
        </w:rPr>
        <w:t>环境管理体系</w:t>
      </w:r>
      <w:r>
        <w:rPr>
          <w:rFonts w:hint="eastAsia" w:ascii="宋体" w:hAnsi="宋体"/>
          <w:sz w:val="24"/>
        </w:rPr>
        <w:t>以来，公司对厂区及厂房内外环境进行了大幅度的改造。近年来公司投入大量资金用于改善车间作业环境，如在耗资</w:t>
      </w:r>
      <w:r>
        <w:rPr>
          <w:rFonts w:hint="eastAsia" w:ascii="宋体" w:hAnsi="宋体"/>
          <w:sz w:val="24"/>
          <w:lang w:val="en-US" w:eastAsia="zh-CN"/>
        </w:rPr>
        <w:t>10</w:t>
      </w:r>
      <w:r>
        <w:rPr>
          <w:rFonts w:hint="eastAsia" w:ascii="宋体" w:hAnsi="宋体"/>
          <w:sz w:val="24"/>
        </w:rPr>
        <w:t>多万对车间增设空调</w:t>
      </w:r>
      <w:r>
        <w:rPr>
          <w:rFonts w:hint="eastAsia" w:ascii="宋体" w:hAnsi="宋体"/>
          <w:sz w:val="24"/>
          <w:lang w:val="en-US" w:eastAsia="zh-CN"/>
        </w:rPr>
        <w:t>15</w:t>
      </w:r>
      <w:r>
        <w:rPr>
          <w:rFonts w:hint="eastAsia" w:ascii="宋体" w:hAnsi="宋体"/>
          <w:sz w:val="24"/>
        </w:rPr>
        <w:t>台，每年出资</w:t>
      </w:r>
      <w:r>
        <w:rPr>
          <w:rFonts w:hint="eastAsia" w:ascii="宋体" w:hAnsi="宋体"/>
          <w:sz w:val="24"/>
          <w:lang w:val="en-US" w:eastAsia="zh-CN"/>
        </w:rPr>
        <w:t>10</w:t>
      </w:r>
      <w:r>
        <w:rPr>
          <w:rFonts w:hint="eastAsia" w:ascii="宋体" w:hAnsi="宋体"/>
          <w:sz w:val="24"/>
        </w:rPr>
        <w:t>多万元购买苗木花草，对公司绿化区做大面积修整，增加花木品种，建设错季景观，努力实现“三季有花，四季常绿”的目标要求，厂区绿化率达</w:t>
      </w:r>
      <w:r>
        <w:rPr>
          <w:rFonts w:hint="eastAsia" w:ascii="宋体" w:hAnsi="宋体"/>
          <w:sz w:val="24"/>
          <w:lang w:val="en-US" w:eastAsia="zh-CN"/>
        </w:rPr>
        <w:t>30</w:t>
      </w:r>
      <w:r>
        <w:rPr>
          <w:rFonts w:hint="eastAsia" w:ascii="宋体" w:hAnsi="宋体"/>
          <w:sz w:val="24"/>
        </w:rPr>
        <w:t>%以上。同时坚持推行清洁生产，深化节能降耗，走高效率、低投入、低消耗、低排放的发展新路子，实现企业和社会双赢，促进经济、社会、环境的可持续发展。</w:t>
      </w:r>
    </w:p>
    <w:p>
      <w:pPr>
        <w:spacing w:line="360" w:lineRule="auto"/>
        <w:ind w:firstLine="480" w:firstLineChars="200"/>
        <w:rPr>
          <w:rFonts w:ascii="宋体" w:hAnsi="宋体"/>
          <w:sz w:val="24"/>
        </w:rPr>
      </w:pPr>
      <w:r>
        <w:rPr>
          <w:rFonts w:hint="eastAsia" w:ascii="宋体" w:hAnsi="宋体"/>
          <w:b/>
          <w:sz w:val="24"/>
        </w:rPr>
        <w:t>节能降耗方面：</w:t>
      </w:r>
      <w:r>
        <w:rPr>
          <w:rFonts w:hint="eastAsia" w:ascii="宋体" w:hAnsi="宋体"/>
          <w:sz w:val="24"/>
        </w:rPr>
        <w:t>作为富有责任感的企业，公司将其作为一项重要工作来抓，并列入企业的考核体系。</w:t>
      </w:r>
      <w:r>
        <w:rPr>
          <w:rFonts w:hint="eastAsia" w:ascii="宋体" w:hAnsi="宋体"/>
          <w:sz w:val="24"/>
          <w:szCs w:val="24"/>
          <w:lang w:val="en-US" w:eastAsia="zh-CN"/>
        </w:rPr>
        <w:t>浙江华晟</w:t>
      </w:r>
      <w:r>
        <w:rPr>
          <w:rFonts w:hint="eastAsia" w:ascii="宋体" w:hAnsi="宋体"/>
          <w:sz w:val="24"/>
        </w:rPr>
        <w:t xml:space="preserve">一直以“节能、降耗、减污、增效”，做好环保工作。公司成立了“节能降耗工作领导小组”，强力推进节能降耗工作，对落后生产设备、工艺流程进行技术改造，淘汰高污染、高能耗高物耗的设备，引进使用环保、低耗的高科技产品。 </w:t>
      </w:r>
    </w:p>
    <w:p>
      <w:pPr>
        <w:spacing w:line="360" w:lineRule="auto"/>
        <w:ind w:firstLine="480" w:firstLineChars="200"/>
        <w:rPr>
          <w:rFonts w:hint="eastAsia" w:ascii="宋体" w:hAnsi="宋体"/>
          <w:sz w:val="24"/>
        </w:rPr>
      </w:pPr>
      <w:r>
        <w:rPr>
          <w:rFonts w:hint="eastAsia" w:ascii="宋体" w:hAnsi="宋体"/>
          <w:b/>
          <w:sz w:val="24"/>
        </w:rPr>
        <w:t>安全生产方面：</w:t>
      </w:r>
      <w:r>
        <w:rPr>
          <w:rFonts w:hint="eastAsia" w:ascii="宋体" w:hAnsi="宋体"/>
          <w:sz w:val="24"/>
        </w:rPr>
        <w:t>公司一惯遵</w:t>
      </w:r>
      <w:r>
        <w:rPr>
          <w:rFonts w:hint="eastAsia" w:ascii="宋体" w:hAnsi="宋体" w:eastAsia="Calibri" w:cs="Times New Roman"/>
          <w:sz w:val="24"/>
        </w:rPr>
        <w:t>循“以人为本、安全第一，预防为主，文明健康”的</w:t>
      </w:r>
      <w:r>
        <w:rPr>
          <w:rFonts w:hint="eastAsia" w:ascii="宋体" w:hAnsi="宋体"/>
          <w:sz w:val="24"/>
        </w:rPr>
        <w:t>工作方针，为避免安全事故的发生和确保员工的人身安全，公司通过制订、完善资产保全、防火防盗管理制度，确保企业财产安全。同时，从培养员工安全意识、开展三级安全教育入手，针对不同岗位的安全特点，采取岗位安全培训、配备劳动保护用品、为全体员工缴纳养老和工伤保险等安全防范措施，确保所有员工掌握岗位需求的安全知识和技能，以保证职工的人身安全。公司每年安排特殊工种员工进行一次免费体检。</w:t>
      </w:r>
    </w:p>
    <w:p>
      <w:pPr>
        <w:spacing w:line="360" w:lineRule="auto"/>
        <w:rPr>
          <w:rFonts w:hint="eastAsia" w:ascii="宋体" w:hAnsi="宋体"/>
          <w:spacing w:val="-4"/>
          <w:sz w:val="24"/>
        </w:rPr>
      </w:pPr>
      <w:r>
        <w:rPr>
          <w:rFonts w:hint="eastAsia" w:ascii="宋体" w:hAnsi="宋体"/>
          <w:sz w:val="24"/>
        </w:rPr>
        <w:t>　　</w:t>
      </w:r>
      <w:r>
        <w:rPr>
          <w:rFonts w:hint="eastAsia" w:ascii="宋体" w:hAnsi="宋体"/>
          <w:spacing w:val="-4"/>
          <w:sz w:val="24"/>
        </w:rPr>
        <w:t>特别要指出的是，我们通过一套体制激发员工自发地参与到公司安全管理体系建设中来，比如我们确立的义务消防员制度以及公司广泛开展的</w:t>
      </w:r>
      <w:r>
        <w:rPr>
          <w:rFonts w:hint="eastAsia" w:ascii="宋体" w:hAnsi="宋体" w:eastAsia="宋体"/>
          <w:spacing w:val="-4"/>
          <w:sz w:val="24"/>
          <w:lang w:val="en-US" w:eastAsia="zh-CN"/>
        </w:rPr>
        <w:t>5</w:t>
      </w:r>
      <w:r>
        <w:rPr>
          <w:rFonts w:hint="eastAsia" w:ascii="宋体" w:hAnsi="宋体"/>
          <w:spacing w:val="-4"/>
          <w:sz w:val="24"/>
        </w:rPr>
        <w:t>S运动，通过每月</w:t>
      </w:r>
      <w:r>
        <w:rPr>
          <w:rFonts w:hint="eastAsia" w:ascii="宋体" w:hAnsi="宋体" w:eastAsia="宋体"/>
          <w:spacing w:val="-4"/>
          <w:sz w:val="24"/>
          <w:lang w:val="en-US" w:eastAsia="zh-CN"/>
        </w:rPr>
        <w:t>5</w:t>
      </w:r>
      <w:r>
        <w:rPr>
          <w:rFonts w:hint="eastAsia" w:ascii="宋体" w:hAnsi="宋体"/>
          <w:spacing w:val="-4"/>
          <w:sz w:val="24"/>
        </w:rPr>
        <w:t>S评比活动，让员工深入参与各项活动，营造更深入人心的安全文化。</w:t>
      </w:r>
    </w:p>
    <w:p>
      <w:pPr>
        <w:spacing w:line="360" w:lineRule="auto"/>
        <w:ind w:firstLine="472" w:firstLineChars="200"/>
        <w:rPr>
          <w:rFonts w:hint="eastAsia" w:ascii="宋体" w:hAnsi="宋体"/>
          <w:spacing w:val="-2"/>
          <w:sz w:val="24"/>
        </w:rPr>
      </w:pPr>
      <w:r>
        <w:rPr>
          <w:rFonts w:hint="eastAsia" w:ascii="宋体" w:hAnsi="宋体"/>
          <w:spacing w:val="-2"/>
          <w:sz w:val="24"/>
        </w:rPr>
        <w:t>成长和发展对员工来说是至关重要的。公司重视人才引进、培养，为员工提供职业生涯规划，组织各类企业培训，以提升员工素质，20</w:t>
      </w:r>
      <w:r>
        <w:rPr>
          <w:rFonts w:hint="eastAsia" w:ascii="宋体" w:hAnsi="宋体" w:eastAsia="宋体"/>
          <w:spacing w:val="-2"/>
          <w:sz w:val="24"/>
          <w:lang w:val="en-US" w:eastAsia="zh-CN"/>
        </w:rPr>
        <w:t>20</w:t>
      </w:r>
      <w:r>
        <w:rPr>
          <w:rFonts w:hint="eastAsia" w:ascii="宋体" w:hAnsi="宋体"/>
          <w:spacing w:val="-2"/>
          <w:sz w:val="24"/>
        </w:rPr>
        <w:t>年底，公司共投入培训经费15多万元，培训1000多人次，累计培训课时达 600多小时。本着“人岗匹配，人尽其才”的基本原则，形成了管理和专业两种职业发展通道，给予员工职业发展方向的选择权，保证公司人力资源优化配置为员工创造良好的晋升渠道，实现员工与企业的共同成长。</w:t>
      </w:r>
    </w:p>
    <w:p>
      <w:pPr>
        <w:spacing w:line="360" w:lineRule="auto"/>
        <w:ind w:firstLine="553"/>
        <w:rPr>
          <w:rFonts w:hint="eastAsia" w:ascii="黑体" w:hAnsi="黑体" w:eastAsia="黑体"/>
          <w:b/>
          <w:sz w:val="28"/>
          <w:szCs w:val="21"/>
        </w:rPr>
      </w:pPr>
      <w:r>
        <w:rPr>
          <w:rFonts w:hint="eastAsia" w:ascii="黑体" w:hAnsi="黑体" w:eastAsia="黑体"/>
          <w:b/>
          <w:sz w:val="28"/>
          <w:szCs w:val="21"/>
        </w:rPr>
        <w:t>四、关注员工的文化建设和健康</w:t>
      </w:r>
    </w:p>
    <w:p>
      <w:pPr>
        <w:spacing w:line="360" w:lineRule="auto"/>
        <w:ind w:firstLine="530" w:firstLineChars="221"/>
        <w:rPr>
          <w:rFonts w:hint="eastAsia" w:ascii="宋体" w:hAnsi="宋体"/>
          <w:sz w:val="24"/>
        </w:rPr>
      </w:pPr>
      <w:r>
        <w:rPr>
          <w:rFonts w:hint="eastAsia" w:ascii="宋体" w:hAnsi="宋体"/>
          <w:sz w:val="24"/>
        </w:rPr>
        <w:t>除了生产上的安全关注，公司也十分重视员工的文化建设和健康。这主要体现在我们努力为员工创造舒适的工作环境和生活环境，如办公室和车间、食堂、运动和休闲、阅读及娱乐等等。除了硬件保障之外，我们还通过诸如劳动技能竞赛、员工聚餐和文娱活动等员工活动来调动员工的工作激情，丰富员工的业余生活，获得了员工的广泛好评。</w:t>
      </w:r>
    </w:p>
    <w:p>
      <w:pPr>
        <w:pStyle w:val="12"/>
        <w:adjustRightInd w:val="0"/>
        <w:spacing w:after="0" w:line="360" w:lineRule="auto"/>
        <w:ind w:left="0" w:leftChars="0" w:firstLine="480" w:firstLineChars="200"/>
        <w:rPr>
          <w:rFonts w:ascii="宋体" w:hAnsi="宋体"/>
          <w:sz w:val="24"/>
        </w:rPr>
      </w:pPr>
      <w:r>
        <w:rPr>
          <w:rFonts w:hint="eastAsia" w:ascii="宋体" w:hAnsi="宋体"/>
          <w:sz w:val="24"/>
        </w:rPr>
        <w:t>关注员工身心健康，组织员工座谈、文艺晚会等丰富业余生活，帮助员工解决家庭困难，营造了“一人有难 人人帮助”的良好氛围。近</w:t>
      </w:r>
      <w:r>
        <w:rPr>
          <w:rFonts w:hint="eastAsia" w:ascii="宋体" w:hAnsi="宋体"/>
          <w:sz w:val="24"/>
          <w:lang w:val="en-US" w:eastAsia="zh-CN"/>
        </w:rPr>
        <w:t>三</w:t>
      </w:r>
      <w:r>
        <w:rPr>
          <w:rFonts w:hint="eastAsia" w:ascii="宋体" w:hAnsi="宋体"/>
          <w:sz w:val="24"/>
        </w:rPr>
        <w:t>年，公司累计资助生病、家里突发意外的员工及家属共计</w:t>
      </w:r>
      <w:r>
        <w:rPr>
          <w:rFonts w:hint="eastAsia" w:ascii="宋体" w:hAnsi="宋体"/>
          <w:sz w:val="24"/>
          <w:lang w:val="en-US" w:eastAsia="zh-CN"/>
        </w:rPr>
        <w:t>10余</w:t>
      </w:r>
      <w:r>
        <w:rPr>
          <w:rFonts w:hint="eastAsia" w:ascii="宋体" w:hAnsi="宋体"/>
          <w:sz w:val="24"/>
        </w:rPr>
        <w:t>人，累计资助金额</w:t>
      </w:r>
      <w:r>
        <w:rPr>
          <w:rFonts w:hint="eastAsia" w:ascii="宋体" w:hAnsi="宋体" w:eastAsia="宋体"/>
          <w:sz w:val="24"/>
          <w:lang w:val="en-US" w:eastAsia="zh-CN"/>
        </w:rPr>
        <w:t>1</w:t>
      </w:r>
      <w:r>
        <w:rPr>
          <w:rFonts w:hint="eastAsia" w:ascii="宋体" w:hAnsi="宋体"/>
          <w:sz w:val="24"/>
          <w:lang w:val="en-US" w:eastAsia="zh-CN"/>
        </w:rPr>
        <w:t>5</w:t>
      </w:r>
      <w:r>
        <w:rPr>
          <w:rFonts w:hint="eastAsia" w:ascii="宋体" w:hAnsi="宋体"/>
          <w:sz w:val="24"/>
          <w:lang w:eastAsia="zh-CN"/>
        </w:rPr>
        <w:t>多</w:t>
      </w:r>
      <w:r>
        <w:rPr>
          <w:rFonts w:hint="eastAsia" w:ascii="宋体" w:hAnsi="宋体"/>
          <w:sz w:val="24"/>
        </w:rPr>
        <w:t>万元。并针对外地员工实施了“三安工程”，即让外地员工在</w:t>
      </w:r>
      <w:r>
        <w:rPr>
          <w:rFonts w:hint="eastAsia" w:ascii="宋体" w:hAnsi="宋体" w:eastAsia="宋体"/>
          <w:sz w:val="24"/>
          <w:lang w:val="en-US" w:eastAsia="zh-CN"/>
        </w:rPr>
        <w:t>武义县</w:t>
      </w:r>
      <w:r>
        <w:rPr>
          <w:rFonts w:hint="eastAsia" w:ascii="宋体" w:hAnsi="宋体"/>
          <w:sz w:val="24"/>
        </w:rPr>
        <w:t>“安下身来、安下心来、安下家来”。</w:t>
      </w:r>
    </w:p>
    <w:p>
      <w:pPr>
        <w:pStyle w:val="12"/>
        <w:adjustRightInd w:val="0"/>
        <w:spacing w:after="0" w:line="360" w:lineRule="auto"/>
        <w:ind w:left="0" w:leftChars="0" w:firstLine="480" w:firstLineChars="200"/>
        <w:rPr>
          <w:rFonts w:hint="eastAsia" w:ascii="宋体" w:hAnsi="宋体"/>
          <w:sz w:val="24"/>
        </w:rPr>
      </w:pPr>
      <w:r>
        <w:rPr>
          <w:rFonts w:ascii="宋体" w:hAnsi="宋体"/>
          <w:sz w:val="24"/>
        </w:rPr>
        <w:t>公司坚持</w:t>
      </w:r>
      <w:r>
        <w:rPr>
          <w:rFonts w:hint="eastAsia" w:ascii="宋体" w:hAnsi="宋体"/>
          <w:sz w:val="24"/>
        </w:rPr>
        <w:t>“</w:t>
      </w:r>
      <w:r>
        <w:rPr>
          <w:rFonts w:ascii="宋体" w:hAnsi="宋体"/>
          <w:sz w:val="24"/>
        </w:rPr>
        <w:t>以人为本</w:t>
      </w:r>
      <w:r>
        <w:rPr>
          <w:rFonts w:hint="eastAsia" w:ascii="宋体" w:hAnsi="宋体"/>
          <w:sz w:val="24"/>
        </w:rPr>
        <w:t>”</w:t>
      </w:r>
      <w:r>
        <w:rPr>
          <w:rFonts w:ascii="宋体" w:hAnsi="宋体"/>
          <w:sz w:val="24"/>
        </w:rPr>
        <w:t>，定期召开员工代表座谈会，及时解决员工关心问题；保障员工</w:t>
      </w:r>
      <w:r>
        <w:rPr>
          <w:rFonts w:hint="eastAsia" w:ascii="宋体" w:hAnsi="宋体"/>
          <w:sz w:val="24"/>
        </w:rPr>
        <w:t>合理的</w:t>
      </w:r>
      <w:r>
        <w:rPr>
          <w:rFonts w:ascii="宋体" w:hAnsi="宋体"/>
          <w:sz w:val="24"/>
        </w:rPr>
        <w:t>薪酬增长，持续为员工改善伙食；逐步降低一线员工劳动强度，员工奖惩公开透明，遏制不公；对困难员工给予温暖和人性关怀，如发放困难补助，增强员工对公司认同感和归宿感。</w:t>
      </w:r>
    </w:p>
    <w:p>
      <w:pPr>
        <w:spacing w:line="360" w:lineRule="auto"/>
        <w:ind w:firstLine="480" w:firstLineChars="200"/>
        <w:rPr>
          <w:rFonts w:hint="eastAsia" w:ascii="宋体" w:hAnsi="宋体"/>
          <w:sz w:val="24"/>
        </w:rPr>
      </w:pPr>
      <w:r>
        <w:rPr>
          <w:rFonts w:hint="eastAsia" w:ascii="宋体" w:hAnsi="宋体" w:eastAsia="宋体"/>
          <w:sz w:val="24"/>
          <w:lang w:eastAsia="zh-CN"/>
        </w:rPr>
        <w:t>浙江华晟金属制品</w:t>
      </w:r>
      <w:r>
        <w:rPr>
          <w:rFonts w:hint="eastAsia" w:ascii="宋体" w:hAnsi="宋体"/>
          <w:sz w:val="24"/>
        </w:rPr>
        <w:t>有限公司根据新形势下企业发展的特点，20</w:t>
      </w:r>
      <w:r>
        <w:rPr>
          <w:rFonts w:hint="eastAsia" w:ascii="宋体" w:hAnsi="宋体" w:eastAsia="宋体"/>
          <w:sz w:val="24"/>
          <w:lang w:val="en-US" w:eastAsia="zh-CN"/>
        </w:rPr>
        <w:t>20</w:t>
      </w:r>
      <w:r>
        <w:rPr>
          <w:rFonts w:hint="eastAsia" w:ascii="宋体" w:hAnsi="宋体"/>
          <w:sz w:val="24"/>
        </w:rPr>
        <w:t>年，新推企业文化“廉职文化建设”等。</w:t>
      </w:r>
      <w:r>
        <w:rPr>
          <w:rFonts w:hint="eastAsia" w:ascii="宋体" w:hAnsi="宋体" w:eastAsia="宋体"/>
          <w:sz w:val="24"/>
          <w:lang w:val="en-US" w:eastAsia="zh-CN"/>
        </w:rPr>
        <w:t>公司通过宣传</w:t>
      </w:r>
      <w:r>
        <w:rPr>
          <w:rFonts w:hint="eastAsia" w:ascii="宋体" w:hAnsi="宋体"/>
          <w:sz w:val="24"/>
        </w:rPr>
        <w:t>从知与行的角度，充分挖掘公司每个员工心底蕴藏的良好职业道德意愿，内化为个人意识，外化为个人行为规范，以凝心聚力，焕发战斗力。针对廉职文化建设，明确了廉职文化建设推进的具体方案，并制订了与之配套的员工廉职行为规范、员工廉洁自律公约、公司与合作单位的廉洁自律责任书等文件。让廉洁自律深入人心，对 “不正之风”形成高压态势，以不断增强企业凝聚力和竞争力。</w:t>
      </w:r>
    </w:p>
    <w:p>
      <w:pPr>
        <w:spacing w:line="360" w:lineRule="auto"/>
        <w:ind w:firstLine="553"/>
        <w:rPr>
          <w:rFonts w:hint="eastAsia" w:ascii="黑体" w:hAnsi="黑体" w:eastAsia="黑体"/>
          <w:b/>
          <w:sz w:val="28"/>
          <w:szCs w:val="21"/>
        </w:rPr>
      </w:pPr>
      <w:r>
        <w:rPr>
          <w:rFonts w:hint="eastAsia" w:ascii="黑体" w:hAnsi="黑体" w:eastAsia="黑体"/>
          <w:b/>
          <w:sz w:val="28"/>
          <w:szCs w:val="21"/>
        </w:rPr>
        <w:t>五、回报社会，参与公益事业</w:t>
      </w:r>
    </w:p>
    <w:p>
      <w:pPr>
        <w:spacing w:line="360" w:lineRule="auto"/>
        <w:ind w:firstLine="482" w:firstLineChars="201"/>
        <w:rPr>
          <w:rFonts w:hint="eastAsia" w:ascii="宋体" w:hAnsi="宋体"/>
          <w:sz w:val="24"/>
        </w:rPr>
      </w:pPr>
      <w:r>
        <w:rPr>
          <w:rFonts w:hint="eastAsia" w:ascii="宋体" w:hAnsi="宋体"/>
          <w:sz w:val="24"/>
        </w:rPr>
        <w:t>公司在发展的同时不忘回馈社会，逐步建设形成了“公司为主、党委牵头、全员参与、注重实效”的</w:t>
      </w:r>
      <w:r>
        <w:rPr>
          <w:rFonts w:hint="eastAsia" w:ascii="宋体" w:hAnsi="宋体" w:eastAsia="宋体"/>
          <w:sz w:val="24"/>
          <w:lang w:eastAsia="zh-CN"/>
        </w:rPr>
        <w:t>浙江华晟</w:t>
      </w:r>
      <w:r>
        <w:rPr>
          <w:rFonts w:hint="eastAsia" w:ascii="宋体" w:hAnsi="宋体"/>
          <w:sz w:val="24"/>
        </w:rPr>
        <w:t>公益慈善体系，多年来开展了多种形式的公益活动。</w:t>
      </w:r>
      <w:r>
        <w:rPr>
          <w:rFonts w:hint="eastAsia" w:ascii="宋体" w:hAnsi="宋体" w:eastAsia="宋体"/>
          <w:sz w:val="24"/>
          <w:lang w:val="en-US" w:eastAsia="zh-CN"/>
        </w:rPr>
        <w:t>浙江华晟</w:t>
      </w:r>
      <w:r>
        <w:rPr>
          <w:rFonts w:hint="eastAsia" w:ascii="宋体" w:hAnsi="宋体"/>
          <w:sz w:val="24"/>
        </w:rPr>
        <w:t>踊跃响应</w:t>
      </w:r>
      <w:r>
        <w:rPr>
          <w:rFonts w:hint="eastAsia" w:ascii="宋体" w:hAnsi="宋体" w:eastAsia="宋体"/>
          <w:sz w:val="24"/>
          <w:lang w:val="en-US" w:eastAsia="zh-CN"/>
        </w:rPr>
        <w:t>桐武义县</w:t>
      </w:r>
      <w:r>
        <w:rPr>
          <w:rFonts w:hint="eastAsia" w:ascii="宋体" w:hAnsi="宋体"/>
          <w:sz w:val="24"/>
        </w:rPr>
        <w:t>委和</w:t>
      </w:r>
      <w:r>
        <w:rPr>
          <w:rFonts w:hint="eastAsia" w:ascii="宋体" w:hAnsi="宋体" w:eastAsia="宋体"/>
          <w:sz w:val="24"/>
          <w:lang w:val="en-US" w:eastAsia="zh-CN"/>
        </w:rPr>
        <w:t>县</w:t>
      </w:r>
      <w:r>
        <w:rPr>
          <w:rFonts w:hint="eastAsia" w:ascii="宋体" w:hAnsi="宋体"/>
          <w:sz w:val="24"/>
        </w:rPr>
        <w:t>政府的号召，积极参与“慈善捐助、发展教育事业、推进环保事业、支持公共</w:t>
      </w:r>
      <w:r>
        <w:rPr>
          <w:rFonts w:hint="eastAsia" w:ascii="宋体" w:hAnsi="宋体" w:eastAsia="宋体"/>
          <w:sz w:val="24"/>
          <w:lang w:val="en-US" w:eastAsia="zh-CN"/>
        </w:rPr>
        <w:t>卫生</w:t>
      </w:r>
      <w:r>
        <w:rPr>
          <w:rFonts w:hint="eastAsia" w:ascii="宋体" w:hAnsi="宋体"/>
          <w:sz w:val="24"/>
        </w:rPr>
        <w:t>改造”等四个领域确定为公益事业支持重点。经统计，公司自成立以来累计向社会捐款</w:t>
      </w:r>
      <w:r>
        <w:rPr>
          <w:rFonts w:hint="eastAsia" w:ascii="宋体" w:hAnsi="宋体" w:eastAsia="宋体"/>
          <w:sz w:val="24"/>
          <w:lang w:val="en-US" w:eastAsia="zh-CN"/>
        </w:rPr>
        <w:t>5</w:t>
      </w:r>
      <w:r>
        <w:rPr>
          <w:rFonts w:hint="eastAsia" w:ascii="宋体" w:hAnsi="宋体"/>
          <w:sz w:val="24"/>
        </w:rPr>
        <w:t xml:space="preserve">0多万元。 </w:t>
      </w:r>
    </w:p>
    <w:p>
      <w:pPr>
        <w:spacing w:line="360" w:lineRule="auto"/>
        <w:ind w:firstLine="483" w:firstLineChars="201"/>
        <w:rPr>
          <w:rFonts w:hint="eastAsia" w:ascii="宋体" w:hAnsi="宋体"/>
          <w:sz w:val="24"/>
        </w:rPr>
      </w:pPr>
      <w:r>
        <w:rPr>
          <w:rFonts w:hint="eastAsia" w:ascii="宋体" w:hAnsi="宋体"/>
          <w:b/>
          <w:sz w:val="24"/>
        </w:rPr>
        <w:t>慈善捐助、发展教育事业：</w:t>
      </w:r>
      <w:r>
        <w:rPr>
          <w:rFonts w:hint="eastAsia" w:ascii="宋体" w:hAnsi="宋体"/>
          <w:sz w:val="24"/>
        </w:rPr>
        <w:t>公司每年定向</w:t>
      </w:r>
      <w:r>
        <w:rPr>
          <w:rFonts w:hint="eastAsia" w:ascii="宋体" w:hAnsi="宋体" w:eastAsia="宋体"/>
          <w:sz w:val="24"/>
          <w:lang w:val="en-US" w:eastAsia="zh-CN"/>
        </w:rPr>
        <w:t>武义县</w:t>
      </w:r>
      <w:r>
        <w:rPr>
          <w:rFonts w:hint="eastAsia" w:ascii="宋体" w:hAnsi="宋体"/>
          <w:sz w:val="24"/>
        </w:rPr>
        <w:t>慈善捐赠</w:t>
      </w:r>
      <w:r>
        <w:rPr>
          <w:rFonts w:hint="eastAsia" w:ascii="宋体" w:hAnsi="宋体" w:eastAsia="宋体"/>
          <w:sz w:val="24"/>
          <w:lang w:val="en-US" w:eastAsia="zh-CN"/>
        </w:rPr>
        <w:t>10</w:t>
      </w:r>
      <w:r>
        <w:rPr>
          <w:rFonts w:hint="eastAsia" w:ascii="宋体" w:hAnsi="宋体"/>
          <w:sz w:val="24"/>
        </w:rPr>
        <w:t>万，帮助贫困学子，至今帮助</w:t>
      </w:r>
      <w:r>
        <w:rPr>
          <w:rFonts w:hint="eastAsia" w:ascii="宋体" w:hAnsi="宋体"/>
          <w:sz w:val="24"/>
          <w:lang w:val="en-US" w:eastAsia="zh-CN"/>
        </w:rPr>
        <w:t>10余</w:t>
      </w:r>
      <w:r>
        <w:rPr>
          <w:rFonts w:hint="eastAsia" w:ascii="宋体" w:hAnsi="宋体"/>
          <w:sz w:val="24"/>
        </w:rPr>
        <w:t>名学生完成学业。</w:t>
      </w:r>
      <w:r>
        <w:rPr>
          <w:rFonts w:hint="eastAsia" w:ascii="宋体" w:hAnsi="宋体" w:eastAsia="宋体"/>
          <w:sz w:val="24"/>
          <w:lang w:eastAsia="zh-CN"/>
        </w:rPr>
        <w:t>浙江华晟</w:t>
      </w:r>
      <w:r>
        <w:rPr>
          <w:rFonts w:hint="eastAsia" w:ascii="宋体" w:hAnsi="宋体"/>
          <w:sz w:val="24"/>
          <w:lang w:val="en-US" w:eastAsia="zh-CN"/>
        </w:rPr>
        <w:t>积极参加各类</w:t>
      </w:r>
      <w:r>
        <w:rPr>
          <w:rFonts w:hint="eastAsia" w:ascii="宋体" w:hAnsi="宋体"/>
          <w:sz w:val="24"/>
        </w:rPr>
        <w:t>公益项目，</w:t>
      </w:r>
      <w:r>
        <w:rPr>
          <w:rFonts w:hint="eastAsia" w:ascii="宋体" w:hAnsi="宋体"/>
          <w:sz w:val="24"/>
          <w:lang w:val="en-US" w:eastAsia="zh-CN"/>
        </w:rPr>
        <w:t>如</w:t>
      </w:r>
      <w:r>
        <w:rPr>
          <w:rFonts w:hint="eastAsia" w:ascii="宋体" w:hAnsi="宋体"/>
          <w:sz w:val="24"/>
        </w:rPr>
        <w:t>为民工学校的儿童准备了学习用品礼包等物资，还为小朋友带来了不一样的教学课程和互动交流，使他们感受到了来自社会的温暖和关怀。</w:t>
      </w:r>
    </w:p>
    <w:p>
      <w:pPr>
        <w:spacing w:line="360" w:lineRule="auto"/>
        <w:ind w:firstLine="484" w:firstLineChars="201"/>
        <w:rPr>
          <w:rFonts w:hint="eastAsia" w:ascii="宋体" w:hAnsi="宋体" w:eastAsia="宋体"/>
          <w:sz w:val="24"/>
          <w:szCs w:val="24"/>
        </w:rPr>
      </w:pPr>
      <w:r>
        <w:rPr>
          <w:rFonts w:hint="eastAsia" w:ascii="宋体" w:hAnsi="宋体" w:eastAsia="宋体"/>
          <w:b/>
          <w:sz w:val="24"/>
          <w:szCs w:val="24"/>
        </w:rPr>
        <w:t>积极开展各类社会救助工作：</w:t>
      </w:r>
      <w:r>
        <w:rPr>
          <w:rFonts w:hint="eastAsia" w:ascii="宋体" w:hAnsi="宋体" w:eastAsia="宋体"/>
          <w:sz w:val="24"/>
          <w:szCs w:val="24"/>
        </w:rPr>
        <w:t>组织员工参与</w:t>
      </w:r>
      <w:r>
        <w:rPr>
          <w:rFonts w:hint="eastAsia" w:ascii="宋体" w:hAnsi="宋体" w:eastAsia="宋体"/>
          <w:sz w:val="24"/>
          <w:szCs w:val="24"/>
          <w:lang w:val="en-US" w:eastAsia="zh-CN"/>
        </w:rPr>
        <w:t>县</w:t>
      </w:r>
      <w:r>
        <w:rPr>
          <w:rFonts w:hint="eastAsia" w:ascii="宋体" w:hAnsi="宋体" w:eastAsia="宋体"/>
          <w:sz w:val="24"/>
          <w:szCs w:val="24"/>
        </w:rPr>
        <w:t>委</w:t>
      </w:r>
      <w:r>
        <w:rPr>
          <w:rFonts w:hint="eastAsia" w:ascii="宋体" w:hAnsi="宋体" w:eastAsia="宋体"/>
          <w:sz w:val="24"/>
          <w:szCs w:val="24"/>
          <w:lang w:val="en-US" w:eastAsia="zh-CN"/>
        </w:rPr>
        <w:t>县</w:t>
      </w:r>
      <w:r>
        <w:rPr>
          <w:rFonts w:hint="eastAsia" w:ascii="宋体" w:hAnsi="宋体" w:eastAsia="宋体"/>
          <w:sz w:val="24"/>
          <w:szCs w:val="24"/>
        </w:rPr>
        <w:t>政府、各社会慈善机构组织的各类扶贫帮困、捐赠活动。20</w:t>
      </w:r>
      <w:r>
        <w:rPr>
          <w:rFonts w:hint="eastAsia" w:ascii="宋体" w:hAnsi="宋体" w:eastAsia="宋体"/>
          <w:sz w:val="24"/>
          <w:szCs w:val="24"/>
          <w:lang w:val="en-US" w:eastAsia="zh-CN"/>
        </w:rPr>
        <w:t>20</w:t>
      </w:r>
      <w:r>
        <w:rPr>
          <w:rFonts w:hint="eastAsia" w:ascii="宋体" w:hAnsi="宋体" w:eastAsia="宋体"/>
          <w:sz w:val="24"/>
          <w:szCs w:val="24"/>
        </w:rPr>
        <w:t>年全年，公司员工累计参与</w:t>
      </w:r>
      <w:r>
        <w:rPr>
          <w:rFonts w:hint="eastAsia" w:ascii="宋体" w:hAnsi="宋体" w:eastAsia="宋体"/>
          <w:sz w:val="24"/>
          <w:szCs w:val="24"/>
          <w:lang w:val="en-US" w:eastAsia="zh-CN"/>
        </w:rPr>
        <w:t>县</w:t>
      </w:r>
      <w:r>
        <w:rPr>
          <w:rFonts w:hint="eastAsia" w:ascii="宋体" w:hAnsi="宋体" w:eastAsia="宋体"/>
          <w:sz w:val="24"/>
          <w:szCs w:val="24"/>
        </w:rPr>
        <w:t>委</w:t>
      </w:r>
      <w:r>
        <w:rPr>
          <w:rFonts w:hint="eastAsia" w:ascii="宋体" w:hAnsi="宋体" w:eastAsia="宋体"/>
          <w:sz w:val="24"/>
          <w:szCs w:val="24"/>
          <w:lang w:val="en-US" w:eastAsia="zh-CN"/>
        </w:rPr>
        <w:t>县</w:t>
      </w:r>
      <w:r>
        <w:rPr>
          <w:rFonts w:hint="eastAsia" w:ascii="宋体" w:hAnsi="宋体" w:eastAsia="宋体"/>
          <w:sz w:val="24"/>
          <w:szCs w:val="24"/>
        </w:rPr>
        <w:t>政府、各社会慈善机构组织的各类扶贫帮困、捐赠活动共计</w:t>
      </w:r>
      <w:r>
        <w:rPr>
          <w:rFonts w:hint="eastAsia" w:ascii="宋体" w:hAnsi="宋体" w:eastAsia="宋体"/>
          <w:sz w:val="24"/>
          <w:szCs w:val="24"/>
          <w:lang w:val="en-US" w:eastAsia="zh-CN"/>
        </w:rPr>
        <w:t>2</w:t>
      </w:r>
      <w:r>
        <w:rPr>
          <w:rFonts w:hint="eastAsia" w:ascii="宋体" w:hAnsi="宋体" w:eastAsia="宋体"/>
          <w:sz w:val="24"/>
          <w:szCs w:val="24"/>
        </w:rPr>
        <w:t>场次；201</w:t>
      </w:r>
      <w:r>
        <w:rPr>
          <w:rFonts w:hint="eastAsia" w:ascii="宋体" w:hAnsi="宋体" w:eastAsia="宋体"/>
          <w:sz w:val="24"/>
          <w:szCs w:val="24"/>
          <w:lang w:val="en-US" w:eastAsia="zh-CN"/>
        </w:rPr>
        <w:t>9</w:t>
      </w:r>
      <w:r>
        <w:rPr>
          <w:rFonts w:hint="eastAsia" w:ascii="宋体" w:hAnsi="宋体" w:eastAsia="宋体"/>
          <w:sz w:val="24"/>
          <w:szCs w:val="24"/>
        </w:rPr>
        <w:t>年，公司主动联系</w:t>
      </w:r>
      <w:r>
        <w:rPr>
          <w:rFonts w:hint="eastAsia" w:ascii="宋体" w:hAnsi="宋体" w:eastAsia="宋体"/>
          <w:sz w:val="24"/>
          <w:szCs w:val="24"/>
          <w:lang w:val="en-US" w:eastAsia="zh-CN"/>
        </w:rPr>
        <w:t>当地</w:t>
      </w:r>
      <w:r>
        <w:rPr>
          <w:rFonts w:hint="eastAsia" w:ascii="宋体" w:hAnsi="宋体" w:eastAsia="宋体"/>
          <w:sz w:val="24"/>
          <w:szCs w:val="24"/>
        </w:rPr>
        <w:t>中心血站，开展了一场以“无偿献血，奉献爱心”的献血活动。共有</w:t>
      </w:r>
      <w:r>
        <w:rPr>
          <w:rFonts w:hint="eastAsia" w:ascii="宋体" w:hAnsi="宋体" w:eastAsia="宋体"/>
          <w:sz w:val="24"/>
          <w:szCs w:val="24"/>
          <w:lang w:val="en-US" w:eastAsia="zh-CN"/>
        </w:rPr>
        <w:t>30余人</w:t>
      </w:r>
      <w:r>
        <w:rPr>
          <w:rFonts w:hint="eastAsia" w:ascii="宋体" w:hAnsi="宋体" w:eastAsia="宋体"/>
          <w:sz w:val="24"/>
          <w:szCs w:val="24"/>
        </w:rPr>
        <w:t>人报名，经初测有</w:t>
      </w:r>
      <w:r>
        <w:rPr>
          <w:rFonts w:hint="eastAsia" w:ascii="宋体" w:hAnsi="宋体" w:eastAsia="宋体"/>
          <w:sz w:val="24"/>
          <w:szCs w:val="24"/>
          <w:lang w:val="en-US" w:eastAsia="zh-CN"/>
        </w:rPr>
        <w:t>35</w:t>
      </w:r>
      <w:r>
        <w:rPr>
          <w:rFonts w:hint="eastAsia" w:ascii="宋体" w:hAnsi="宋体" w:eastAsia="宋体"/>
          <w:sz w:val="24"/>
          <w:szCs w:val="24"/>
        </w:rPr>
        <w:t>人合格，献血量达</w:t>
      </w:r>
      <w:r>
        <w:rPr>
          <w:rFonts w:hint="eastAsia" w:ascii="宋体" w:hAnsi="宋体" w:eastAsia="宋体"/>
          <w:sz w:val="24"/>
          <w:szCs w:val="24"/>
          <w:lang w:val="en-US" w:eastAsia="zh-CN"/>
        </w:rPr>
        <w:t>10000</w:t>
      </w:r>
      <w:r>
        <w:rPr>
          <w:rFonts w:hint="eastAsia" w:ascii="宋体" w:hAnsi="宋体" w:eastAsia="宋体"/>
          <w:sz w:val="24"/>
          <w:szCs w:val="24"/>
        </w:rPr>
        <w:t>毫升。</w:t>
      </w:r>
    </w:p>
    <w:p>
      <w:pPr>
        <w:pStyle w:val="107"/>
        <w:spacing w:before="100" w:beforeAutospacing="1" w:line="360" w:lineRule="auto"/>
        <w:ind w:firstLine="170" w:firstLineChars="71"/>
        <w:rPr>
          <w:rFonts w:hint="eastAsia" w:ascii="宋体" w:hAnsi="宋体"/>
          <w:b/>
          <w:color w:val="auto"/>
        </w:rPr>
      </w:pPr>
      <w:r>
        <w:rPr>
          <w:rFonts w:hint="eastAsia" w:ascii="宋体" w:hAnsi="宋体"/>
          <w:b/>
          <w:color w:val="auto"/>
        </w:rPr>
        <w:t>六、公司与员工双赢发展</w:t>
      </w:r>
    </w:p>
    <w:p>
      <w:pPr>
        <w:pStyle w:val="107"/>
        <w:spacing w:line="360" w:lineRule="auto"/>
        <w:ind w:firstLine="480"/>
        <w:rPr>
          <w:rFonts w:ascii="宋体" w:hAnsi="宋体"/>
          <w:b/>
          <w:color w:val="auto"/>
        </w:rPr>
      </w:pPr>
      <w:r>
        <w:rPr>
          <w:rFonts w:hint="eastAsia" w:ascii="宋体" w:hAnsi="宋体"/>
          <w:color w:val="auto"/>
        </w:rPr>
        <w:t>公司注重公司与员工双赢，在公司稳步发展的同时，为员工提供良好的工作环境、适宜的生活条件以及具有竞争性的薪酬福利。如下表：</w:t>
      </w:r>
    </w:p>
    <w:p>
      <w:pPr>
        <w:pStyle w:val="7"/>
        <w:keepNext/>
        <w:adjustRightInd w:val="0"/>
        <w:spacing w:before="156" w:beforeLines="50" w:line="360" w:lineRule="auto"/>
        <w:ind w:firstLine="422"/>
        <w:jc w:val="center"/>
        <w:rPr>
          <w:rFonts w:ascii="宋体" w:hAnsi="宋体" w:eastAsia="宋体"/>
          <w:b/>
          <w:sz w:val="21"/>
          <w:szCs w:val="21"/>
        </w:rPr>
      </w:pPr>
      <w:r>
        <w:rPr>
          <w:rFonts w:hint="eastAsia" w:ascii="宋体" w:hAnsi="宋体" w:eastAsia="宋体"/>
          <w:b/>
          <w:sz w:val="21"/>
          <w:szCs w:val="21"/>
        </w:rPr>
        <w:t>员工福利</w:t>
      </w:r>
    </w:p>
    <w:tbl>
      <w:tblPr>
        <w:tblStyle w:val="35"/>
        <w:tblW w:w="0" w:type="auto"/>
        <w:jc w:val="center"/>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Layout w:type="fixed"/>
        <w:tblCellMar>
          <w:top w:w="0" w:type="dxa"/>
          <w:left w:w="108" w:type="dxa"/>
          <w:bottom w:w="0" w:type="dxa"/>
          <w:right w:w="108" w:type="dxa"/>
        </w:tblCellMar>
      </w:tblPr>
      <w:tblGrid>
        <w:gridCol w:w="3738"/>
        <w:gridCol w:w="1585"/>
        <w:gridCol w:w="1586"/>
        <w:gridCol w:w="2046"/>
      </w:tblGrid>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trHeight w:val="454" w:hRule="atLeast"/>
          <w:tblHeader/>
          <w:jc w:val="center"/>
        </w:trPr>
        <w:tc>
          <w:tcPr>
            <w:tcW w:w="3738" w:type="dxa"/>
            <w:tcBorders>
              <w:tl2br w:val="nil"/>
              <w:tr2bl w:val="nil"/>
            </w:tcBorders>
            <w:noWrap w:val="0"/>
            <w:vAlign w:val="center"/>
          </w:tcPr>
          <w:p>
            <w:pPr>
              <w:pStyle w:val="71"/>
              <w:spacing w:line="360" w:lineRule="auto"/>
              <w:rPr>
                <w:rFonts w:ascii="宋体" w:hAnsi="宋体"/>
                <w:b/>
                <w:color w:val="auto"/>
                <w:szCs w:val="21"/>
                <w:lang w:val="en-US" w:eastAsia="zh-CN"/>
              </w:rPr>
            </w:pPr>
            <w:r>
              <w:rPr>
                <w:rFonts w:hint="eastAsia" w:ascii="宋体" w:hAnsi="宋体"/>
                <w:b/>
                <w:color w:val="auto"/>
                <w:szCs w:val="21"/>
                <w:lang w:val="en-US" w:eastAsia="zh-CN"/>
              </w:rPr>
              <w:t>项  目</w:t>
            </w:r>
          </w:p>
        </w:tc>
        <w:tc>
          <w:tcPr>
            <w:tcW w:w="1585" w:type="dxa"/>
            <w:tcBorders>
              <w:tl2br w:val="nil"/>
              <w:tr2bl w:val="nil"/>
            </w:tcBorders>
            <w:noWrap w:val="0"/>
            <w:vAlign w:val="center"/>
          </w:tcPr>
          <w:p>
            <w:pPr>
              <w:pStyle w:val="71"/>
              <w:spacing w:line="360" w:lineRule="auto"/>
              <w:rPr>
                <w:rFonts w:ascii="宋体" w:hAnsi="宋体"/>
                <w:b/>
                <w:color w:val="auto"/>
                <w:szCs w:val="21"/>
                <w:lang w:val="en-US" w:eastAsia="zh-CN"/>
              </w:rPr>
            </w:pPr>
            <w:r>
              <w:rPr>
                <w:rFonts w:hint="eastAsia" w:ascii="宋体" w:hAnsi="宋体"/>
                <w:b/>
                <w:color w:val="auto"/>
                <w:szCs w:val="21"/>
                <w:lang w:val="en-US" w:eastAsia="zh-CN"/>
              </w:rPr>
              <w:t>201</w:t>
            </w:r>
            <w:r>
              <w:rPr>
                <w:rFonts w:hint="eastAsia" w:ascii="宋体" w:hAnsi="宋体"/>
                <w:b/>
                <w:color w:val="auto"/>
                <w:szCs w:val="21"/>
                <w:lang w:val="en-US" w:eastAsia="zh-CN"/>
              </w:rPr>
              <w:t>8</w:t>
            </w:r>
            <w:r>
              <w:rPr>
                <w:rFonts w:hint="eastAsia" w:ascii="宋体" w:hAnsi="宋体"/>
                <w:b/>
                <w:color w:val="auto"/>
                <w:szCs w:val="21"/>
                <w:lang w:val="en-US" w:eastAsia="zh-CN"/>
              </w:rPr>
              <w:t>年</w:t>
            </w:r>
          </w:p>
        </w:tc>
        <w:tc>
          <w:tcPr>
            <w:tcW w:w="1586" w:type="dxa"/>
            <w:tcBorders>
              <w:tl2br w:val="nil"/>
              <w:tr2bl w:val="nil"/>
            </w:tcBorders>
            <w:noWrap w:val="0"/>
            <w:vAlign w:val="center"/>
          </w:tcPr>
          <w:p>
            <w:pPr>
              <w:pStyle w:val="71"/>
              <w:spacing w:line="360" w:lineRule="auto"/>
              <w:rPr>
                <w:rFonts w:ascii="宋体" w:hAnsi="宋体"/>
                <w:b/>
                <w:color w:val="auto"/>
                <w:szCs w:val="21"/>
                <w:lang w:val="en-US" w:eastAsia="zh-CN"/>
              </w:rPr>
            </w:pPr>
            <w:r>
              <w:rPr>
                <w:rFonts w:hint="eastAsia" w:ascii="宋体" w:hAnsi="宋体"/>
                <w:b/>
                <w:color w:val="auto"/>
                <w:szCs w:val="21"/>
                <w:lang w:val="en-US" w:eastAsia="zh-CN"/>
              </w:rPr>
              <w:t>2019年</w:t>
            </w:r>
          </w:p>
        </w:tc>
        <w:tc>
          <w:tcPr>
            <w:tcW w:w="2046" w:type="dxa"/>
            <w:tcBorders>
              <w:tl2br w:val="nil"/>
              <w:tr2bl w:val="nil"/>
            </w:tcBorders>
            <w:noWrap w:val="0"/>
            <w:vAlign w:val="center"/>
          </w:tcPr>
          <w:p>
            <w:pPr>
              <w:pStyle w:val="71"/>
              <w:spacing w:line="360" w:lineRule="auto"/>
              <w:rPr>
                <w:rFonts w:ascii="宋体" w:hAnsi="宋体"/>
                <w:b/>
                <w:color w:val="auto"/>
                <w:szCs w:val="21"/>
                <w:lang w:val="en-US" w:eastAsia="zh-CN"/>
              </w:rPr>
            </w:pPr>
            <w:r>
              <w:rPr>
                <w:rFonts w:hint="eastAsia" w:ascii="宋体" w:hAnsi="宋体"/>
                <w:b/>
                <w:color w:val="auto"/>
                <w:szCs w:val="21"/>
                <w:lang w:val="en-US" w:eastAsia="zh-CN"/>
              </w:rPr>
              <w:t>202</w:t>
            </w:r>
            <w:r>
              <w:rPr>
                <w:rFonts w:hint="eastAsia" w:ascii="宋体" w:hAnsi="宋体"/>
                <w:b/>
                <w:color w:val="auto"/>
                <w:szCs w:val="21"/>
                <w:lang w:val="en-US" w:eastAsia="zh-CN"/>
              </w:rPr>
              <w:t>0</w:t>
            </w:r>
            <w:r>
              <w:rPr>
                <w:rFonts w:hint="eastAsia" w:ascii="宋体" w:hAnsi="宋体"/>
                <w:b/>
                <w:color w:val="auto"/>
                <w:szCs w:val="21"/>
                <w:lang w:val="en-US" w:eastAsia="zh-CN"/>
              </w:rPr>
              <w:t>年</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trHeight w:val="454" w:hRule="atLeast"/>
          <w:jc w:val="center"/>
        </w:trPr>
        <w:tc>
          <w:tcPr>
            <w:tcW w:w="3738" w:type="dxa"/>
            <w:tcBorders>
              <w:tl2br w:val="nil"/>
              <w:tr2bl w:val="nil"/>
            </w:tcBorders>
            <w:shd w:val="clear" w:color="auto" w:fill="auto"/>
            <w:noWrap w:val="0"/>
            <w:vAlign w:val="center"/>
          </w:tcPr>
          <w:p>
            <w:pPr>
              <w:pStyle w:val="71"/>
              <w:spacing w:line="360" w:lineRule="auto"/>
              <w:rPr>
                <w:rFonts w:ascii="宋体" w:hAnsi="宋体"/>
                <w:color w:val="auto"/>
                <w:szCs w:val="21"/>
                <w:lang w:val="en-US" w:eastAsia="zh-CN"/>
              </w:rPr>
            </w:pPr>
            <w:r>
              <w:rPr>
                <w:rFonts w:hint="eastAsia" w:ascii="宋体" w:hAnsi="宋体"/>
                <w:color w:val="auto"/>
                <w:szCs w:val="21"/>
                <w:lang w:val="en-US" w:eastAsia="zh-CN"/>
              </w:rPr>
              <w:t>人均收入（元/年·人）</w:t>
            </w:r>
          </w:p>
        </w:tc>
        <w:tc>
          <w:tcPr>
            <w:tcW w:w="1585" w:type="dxa"/>
            <w:tcBorders>
              <w:tl2br w:val="nil"/>
              <w:tr2bl w:val="nil"/>
            </w:tcBorders>
            <w:shd w:val="clear" w:color="auto" w:fill="FFFFFF"/>
            <w:noWrap w:val="0"/>
            <w:vAlign w:val="center"/>
          </w:tcPr>
          <w:p>
            <w:pPr>
              <w:adjustRightInd w:val="0"/>
              <w:snapToGrid w:val="0"/>
              <w:jc w:val="center"/>
              <w:rPr>
                <w:rFonts w:hint="default" w:ascii="宋体" w:hAnsi="宋体" w:eastAsia="宋体"/>
                <w:szCs w:val="21"/>
                <w:lang w:val="en-US" w:eastAsia="zh-CN"/>
              </w:rPr>
            </w:pPr>
            <w:r>
              <w:rPr>
                <w:rFonts w:hint="eastAsia" w:ascii="宋体" w:hAnsi="宋体" w:eastAsia="宋体"/>
                <w:szCs w:val="21"/>
                <w:lang w:val="en-US" w:eastAsia="zh-CN"/>
              </w:rPr>
              <w:t>7.2</w:t>
            </w:r>
          </w:p>
        </w:tc>
        <w:tc>
          <w:tcPr>
            <w:tcW w:w="1586" w:type="dxa"/>
            <w:tcBorders>
              <w:tl2br w:val="nil"/>
              <w:tr2bl w:val="nil"/>
            </w:tcBorders>
            <w:shd w:val="clear" w:color="auto" w:fill="FFFFFF"/>
            <w:noWrap w:val="0"/>
            <w:vAlign w:val="center"/>
          </w:tcPr>
          <w:p>
            <w:pPr>
              <w:adjustRightInd w:val="0"/>
              <w:snapToGrid w:val="0"/>
              <w:jc w:val="center"/>
              <w:rPr>
                <w:rFonts w:hint="default" w:ascii="宋体" w:hAnsi="宋体" w:eastAsia="宋体"/>
                <w:szCs w:val="21"/>
                <w:lang w:val="en-US" w:eastAsia="zh-CN"/>
              </w:rPr>
            </w:pPr>
            <w:r>
              <w:rPr>
                <w:rFonts w:hint="eastAsia" w:ascii="宋体" w:hAnsi="宋体" w:eastAsia="宋体"/>
                <w:szCs w:val="21"/>
                <w:lang w:val="en-US" w:eastAsia="zh-CN"/>
              </w:rPr>
              <w:t>7.5</w:t>
            </w:r>
          </w:p>
        </w:tc>
        <w:tc>
          <w:tcPr>
            <w:tcW w:w="2046" w:type="dxa"/>
            <w:tcBorders>
              <w:tl2br w:val="nil"/>
              <w:tr2bl w:val="nil"/>
            </w:tcBorders>
            <w:shd w:val="clear" w:color="auto" w:fill="FFFFFF"/>
            <w:noWrap w:val="0"/>
            <w:vAlign w:val="center"/>
          </w:tcPr>
          <w:p>
            <w:pPr>
              <w:adjustRightInd w:val="0"/>
              <w:snapToGrid w:val="0"/>
              <w:jc w:val="center"/>
              <w:rPr>
                <w:rFonts w:hint="default" w:ascii="宋体" w:hAnsi="宋体" w:eastAsia="宋体"/>
                <w:szCs w:val="21"/>
                <w:lang w:val="en-US" w:eastAsia="zh-CN"/>
              </w:rPr>
            </w:pPr>
            <w:r>
              <w:rPr>
                <w:rFonts w:hint="eastAsia" w:ascii="宋体" w:hAnsi="宋体" w:eastAsia="宋体"/>
                <w:szCs w:val="21"/>
                <w:lang w:val="en-US" w:eastAsia="zh-CN"/>
              </w:rPr>
              <w:t>7.6</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trHeight w:val="454" w:hRule="atLeast"/>
          <w:jc w:val="center"/>
        </w:trPr>
        <w:tc>
          <w:tcPr>
            <w:tcW w:w="3738" w:type="dxa"/>
            <w:tcBorders>
              <w:tl2br w:val="nil"/>
              <w:tr2bl w:val="nil"/>
            </w:tcBorders>
            <w:shd w:val="clear" w:color="auto" w:fill="auto"/>
            <w:noWrap w:val="0"/>
            <w:vAlign w:val="center"/>
          </w:tcPr>
          <w:p>
            <w:pPr>
              <w:pStyle w:val="71"/>
              <w:spacing w:line="360" w:lineRule="auto"/>
              <w:jc w:val="center"/>
              <w:rPr>
                <w:rFonts w:hint="eastAsia" w:ascii="宋体" w:hAnsi="宋体"/>
                <w:color w:val="auto"/>
                <w:szCs w:val="21"/>
                <w:lang w:val="en-US" w:eastAsia="zh-CN"/>
              </w:rPr>
            </w:pPr>
            <w:r>
              <w:rPr>
                <w:rFonts w:hint="eastAsia" w:ascii="宋体" w:hAnsi="宋体"/>
                <w:color w:val="auto"/>
                <w:szCs w:val="21"/>
                <w:lang w:val="en-US" w:eastAsia="zh-CN"/>
              </w:rPr>
              <w:t>人均培训课时（小时）</w:t>
            </w:r>
          </w:p>
        </w:tc>
        <w:tc>
          <w:tcPr>
            <w:tcW w:w="1585" w:type="dxa"/>
            <w:tcBorders>
              <w:tl2br w:val="nil"/>
              <w:tr2bl w:val="nil"/>
            </w:tcBorders>
            <w:shd w:val="clear" w:color="auto" w:fill="FFFFFF"/>
            <w:noWrap w:val="0"/>
            <w:vAlign w:val="center"/>
          </w:tcPr>
          <w:p>
            <w:pPr>
              <w:pStyle w:val="71"/>
              <w:spacing w:line="360" w:lineRule="auto"/>
              <w:jc w:val="center"/>
              <w:rPr>
                <w:rFonts w:hint="default" w:ascii="宋体" w:hAnsi="宋体"/>
                <w:color w:val="auto"/>
                <w:szCs w:val="21"/>
                <w:lang w:val="en-US" w:eastAsia="zh-CN"/>
              </w:rPr>
            </w:pPr>
            <w:r>
              <w:rPr>
                <w:rFonts w:hint="eastAsia" w:ascii="宋体" w:hAnsi="宋体"/>
                <w:color w:val="auto"/>
                <w:szCs w:val="21"/>
                <w:lang w:val="en-US" w:eastAsia="zh-CN"/>
              </w:rPr>
              <w:t>180</w:t>
            </w:r>
          </w:p>
        </w:tc>
        <w:tc>
          <w:tcPr>
            <w:tcW w:w="1586" w:type="dxa"/>
            <w:tcBorders>
              <w:tl2br w:val="nil"/>
              <w:tr2bl w:val="nil"/>
            </w:tcBorders>
            <w:shd w:val="clear" w:color="auto" w:fill="FFFFFF"/>
            <w:noWrap w:val="0"/>
            <w:vAlign w:val="center"/>
          </w:tcPr>
          <w:p>
            <w:pPr>
              <w:pStyle w:val="71"/>
              <w:spacing w:line="360" w:lineRule="auto"/>
              <w:jc w:val="center"/>
              <w:rPr>
                <w:rFonts w:hint="default" w:ascii="宋体" w:hAnsi="宋体"/>
                <w:color w:val="auto"/>
                <w:szCs w:val="21"/>
                <w:lang w:val="en-US" w:eastAsia="zh-CN"/>
              </w:rPr>
            </w:pPr>
            <w:r>
              <w:rPr>
                <w:rFonts w:hint="eastAsia" w:ascii="宋体" w:hAnsi="宋体"/>
                <w:color w:val="auto"/>
                <w:szCs w:val="21"/>
                <w:lang w:val="en-US" w:eastAsia="zh-CN"/>
              </w:rPr>
              <w:t>200</w:t>
            </w:r>
          </w:p>
        </w:tc>
        <w:tc>
          <w:tcPr>
            <w:tcW w:w="2046" w:type="dxa"/>
            <w:tcBorders>
              <w:tl2br w:val="nil"/>
              <w:tr2bl w:val="nil"/>
            </w:tcBorders>
            <w:shd w:val="clear" w:color="auto" w:fill="FFFFFF"/>
            <w:noWrap w:val="0"/>
            <w:vAlign w:val="center"/>
          </w:tcPr>
          <w:p>
            <w:pPr>
              <w:pStyle w:val="71"/>
              <w:spacing w:line="360" w:lineRule="auto"/>
              <w:jc w:val="center"/>
              <w:rPr>
                <w:rFonts w:hint="default" w:ascii="宋体" w:hAnsi="宋体"/>
                <w:color w:val="auto"/>
                <w:szCs w:val="21"/>
                <w:lang w:val="en-US" w:eastAsia="zh-CN"/>
              </w:rPr>
            </w:pPr>
            <w:r>
              <w:rPr>
                <w:rFonts w:hint="eastAsia" w:ascii="宋体" w:hAnsi="宋体"/>
                <w:color w:val="auto"/>
                <w:szCs w:val="21"/>
                <w:lang w:val="en-US" w:eastAsia="zh-CN"/>
              </w:rPr>
              <w:t>220</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trHeight w:val="454" w:hRule="atLeast"/>
          <w:jc w:val="center"/>
        </w:trPr>
        <w:tc>
          <w:tcPr>
            <w:tcW w:w="3738" w:type="dxa"/>
            <w:tcBorders>
              <w:tl2br w:val="nil"/>
              <w:tr2bl w:val="nil"/>
            </w:tcBorders>
            <w:noWrap w:val="0"/>
            <w:vAlign w:val="center"/>
          </w:tcPr>
          <w:p>
            <w:pPr>
              <w:pStyle w:val="71"/>
              <w:spacing w:line="360" w:lineRule="auto"/>
              <w:jc w:val="center"/>
              <w:rPr>
                <w:rFonts w:hint="eastAsia" w:ascii="宋体" w:hAnsi="宋体"/>
                <w:color w:val="auto"/>
                <w:szCs w:val="21"/>
                <w:lang w:val="en-US" w:eastAsia="zh-CN"/>
              </w:rPr>
            </w:pPr>
            <w:r>
              <w:rPr>
                <w:rFonts w:hint="eastAsia" w:ascii="宋体" w:hAnsi="宋体"/>
                <w:color w:val="auto"/>
                <w:szCs w:val="21"/>
                <w:lang w:val="en-US" w:eastAsia="zh-CN"/>
              </w:rPr>
              <w:t>福利费用（万元）</w:t>
            </w:r>
          </w:p>
        </w:tc>
        <w:tc>
          <w:tcPr>
            <w:tcW w:w="1585" w:type="dxa"/>
            <w:tcBorders>
              <w:tl2br w:val="nil"/>
              <w:tr2bl w:val="nil"/>
            </w:tcBorders>
            <w:noWrap w:val="0"/>
            <w:vAlign w:val="center"/>
          </w:tcPr>
          <w:p>
            <w:pPr>
              <w:pStyle w:val="71"/>
              <w:spacing w:line="360" w:lineRule="auto"/>
              <w:jc w:val="center"/>
              <w:rPr>
                <w:rFonts w:hint="default" w:ascii="宋体" w:hAnsi="宋体"/>
                <w:color w:val="auto"/>
                <w:szCs w:val="21"/>
                <w:lang w:val="en-US" w:eastAsia="zh-CN"/>
              </w:rPr>
            </w:pPr>
            <w:r>
              <w:rPr>
                <w:rFonts w:hint="eastAsia" w:ascii="宋体" w:hAnsi="宋体"/>
                <w:color w:val="auto"/>
                <w:szCs w:val="21"/>
                <w:lang w:val="en-US" w:eastAsia="zh-CN"/>
              </w:rPr>
              <w:t>80</w:t>
            </w:r>
          </w:p>
        </w:tc>
        <w:tc>
          <w:tcPr>
            <w:tcW w:w="1586" w:type="dxa"/>
            <w:tcBorders>
              <w:tl2br w:val="nil"/>
              <w:tr2bl w:val="nil"/>
            </w:tcBorders>
            <w:noWrap w:val="0"/>
            <w:vAlign w:val="center"/>
          </w:tcPr>
          <w:p>
            <w:pPr>
              <w:pStyle w:val="71"/>
              <w:spacing w:line="360" w:lineRule="auto"/>
              <w:jc w:val="center"/>
              <w:rPr>
                <w:rFonts w:hint="default" w:ascii="宋体" w:hAnsi="宋体"/>
                <w:color w:val="auto"/>
                <w:szCs w:val="21"/>
                <w:lang w:val="en-US" w:eastAsia="zh-CN"/>
              </w:rPr>
            </w:pPr>
            <w:r>
              <w:rPr>
                <w:rFonts w:hint="eastAsia" w:ascii="宋体" w:hAnsi="宋体"/>
                <w:color w:val="auto"/>
                <w:szCs w:val="21"/>
                <w:lang w:val="en-US" w:eastAsia="zh-CN"/>
              </w:rPr>
              <w:t>90</w:t>
            </w:r>
          </w:p>
        </w:tc>
        <w:tc>
          <w:tcPr>
            <w:tcW w:w="2046" w:type="dxa"/>
            <w:tcBorders>
              <w:tl2br w:val="nil"/>
              <w:tr2bl w:val="nil"/>
            </w:tcBorders>
            <w:noWrap w:val="0"/>
            <w:vAlign w:val="center"/>
          </w:tcPr>
          <w:p>
            <w:pPr>
              <w:pStyle w:val="71"/>
              <w:spacing w:line="360" w:lineRule="auto"/>
              <w:jc w:val="center"/>
              <w:rPr>
                <w:rFonts w:hint="default" w:ascii="宋体" w:hAnsi="宋体"/>
                <w:color w:val="auto"/>
                <w:szCs w:val="21"/>
                <w:lang w:val="en-US" w:eastAsia="zh-CN"/>
              </w:rPr>
            </w:pPr>
            <w:r>
              <w:rPr>
                <w:rFonts w:hint="eastAsia" w:ascii="宋体" w:hAnsi="宋体"/>
                <w:color w:val="auto"/>
                <w:szCs w:val="21"/>
                <w:lang w:val="en-US" w:eastAsia="zh-CN"/>
              </w:rPr>
              <w:t>110</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trHeight w:val="454" w:hRule="atLeast"/>
          <w:jc w:val="center"/>
        </w:trPr>
        <w:tc>
          <w:tcPr>
            <w:tcW w:w="3738" w:type="dxa"/>
            <w:tcBorders>
              <w:tl2br w:val="nil"/>
              <w:tr2bl w:val="nil"/>
            </w:tcBorders>
            <w:noWrap w:val="0"/>
            <w:vAlign w:val="center"/>
          </w:tcPr>
          <w:p>
            <w:pPr>
              <w:pStyle w:val="71"/>
              <w:spacing w:line="360" w:lineRule="auto"/>
              <w:jc w:val="center"/>
              <w:rPr>
                <w:rFonts w:hint="eastAsia" w:ascii="宋体" w:hAnsi="宋体"/>
                <w:color w:val="auto"/>
                <w:szCs w:val="21"/>
                <w:lang w:val="en-US" w:eastAsia="zh-CN"/>
              </w:rPr>
            </w:pPr>
            <w:r>
              <w:rPr>
                <w:rFonts w:hint="eastAsia" w:ascii="宋体" w:hAnsi="宋体"/>
                <w:color w:val="auto"/>
                <w:szCs w:val="21"/>
                <w:lang w:val="en-US" w:eastAsia="zh-CN"/>
              </w:rPr>
              <w:t>福利增长率（%）</w:t>
            </w:r>
          </w:p>
        </w:tc>
        <w:tc>
          <w:tcPr>
            <w:tcW w:w="1585" w:type="dxa"/>
            <w:tcBorders>
              <w:tl2br w:val="nil"/>
              <w:tr2bl w:val="nil"/>
            </w:tcBorders>
            <w:noWrap w:val="0"/>
            <w:vAlign w:val="center"/>
          </w:tcPr>
          <w:p>
            <w:pPr>
              <w:pStyle w:val="71"/>
              <w:spacing w:line="360" w:lineRule="auto"/>
              <w:jc w:val="center"/>
              <w:rPr>
                <w:rFonts w:hint="default" w:ascii="宋体" w:hAnsi="宋体"/>
                <w:color w:val="auto"/>
                <w:szCs w:val="21"/>
                <w:lang w:val="en-US" w:eastAsia="zh-CN"/>
              </w:rPr>
            </w:pPr>
            <w:r>
              <w:rPr>
                <w:rFonts w:hint="eastAsia" w:ascii="宋体" w:hAnsi="宋体"/>
                <w:color w:val="auto"/>
                <w:szCs w:val="21"/>
                <w:lang w:val="en-US" w:eastAsia="zh-CN"/>
              </w:rPr>
              <w:t>10</w:t>
            </w:r>
          </w:p>
        </w:tc>
        <w:tc>
          <w:tcPr>
            <w:tcW w:w="1586" w:type="dxa"/>
            <w:tcBorders>
              <w:tl2br w:val="nil"/>
              <w:tr2bl w:val="nil"/>
            </w:tcBorders>
            <w:noWrap w:val="0"/>
            <w:vAlign w:val="center"/>
          </w:tcPr>
          <w:p>
            <w:pPr>
              <w:pStyle w:val="71"/>
              <w:spacing w:line="360" w:lineRule="auto"/>
              <w:jc w:val="center"/>
              <w:rPr>
                <w:rFonts w:hint="default" w:ascii="宋体" w:hAnsi="宋体"/>
                <w:color w:val="auto"/>
                <w:szCs w:val="21"/>
                <w:lang w:val="en-US" w:eastAsia="zh-CN"/>
              </w:rPr>
            </w:pPr>
            <w:r>
              <w:rPr>
                <w:rFonts w:hint="eastAsia" w:ascii="宋体" w:hAnsi="宋体"/>
                <w:color w:val="auto"/>
                <w:szCs w:val="21"/>
                <w:lang w:val="en-US" w:eastAsia="zh-CN"/>
              </w:rPr>
              <w:t>11</w:t>
            </w:r>
          </w:p>
        </w:tc>
        <w:tc>
          <w:tcPr>
            <w:tcW w:w="2046" w:type="dxa"/>
            <w:tcBorders>
              <w:tl2br w:val="nil"/>
              <w:tr2bl w:val="nil"/>
            </w:tcBorders>
            <w:noWrap w:val="0"/>
            <w:vAlign w:val="center"/>
          </w:tcPr>
          <w:p>
            <w:pPr>
              <w:pStyle w:val="71"/>
              <w:spacing w:line="360" w:lineRule="auto"/>
              <w:jc w:val="center"/>
              <w:rPr>
                <w:rFonts w:hint="default" w:ascii="宋体" w:hAnsi="宋体"/>
                <w:color w:val="auto"/>
                <w:szCs w:val="21"/>
                <w:lang w:val="en-US" w:eastAsia="zh-CN"/>
              </w:rPr>
            </w:pPr>
            <w:r>
              <w:rPr>
                <w:rFonts w:hint="eastAsia" w:ascii="宋体" w:hAnsi="宋体"/>
                <w:color w:val="auto"/>
                <w:szCs w:val="21"/>
                <w:lang w:val="en-US" w:eastAsia="zh-CN"/>
              </w:rPr>
              <w:t>13</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trHeight w:val="454" w:hRule="atLeast"/>
          <w:jc w:val="center"/>
        </w:trPr>
        <w:tc>
          <w:tcPr>
            <w:tcW w:w="3738" w:type="dxa"/>
            <w:tcBorders>
              <w:tl2br w:val="nil"/>
              <w:tr2bl w:val="nil"/>
            </w:tcBorders>
            <w:noWrap w:val="0"/>
            <w:vAlign w:val="center"/>
          </w:tcPr>
          <w:p>
            <w:pPr>
              <w:pStyle w:val="71"/>
              <w:spacing w:line="360" w:lineRule="auto"/>
              <w:jc w:val="center"/>
              <w:rPr>
                <w:rFonts w:hint="eastAsia" w:ascii="宋体" w:hAnsi="宋体"/>
                <w:color w:val="auto"/>
                <w:szCs w:val="21"/>
                <w:lang w:val="en-US" w:eastAsia="zh-CN"/>
              </w:rPr>
            </w:pPr>
            <w:r>
              <w:rPr>
                <w:rFonts w:hint="eastAsia" w:ascii="宋体" w:hAnsi="宋体"/>
                <w:color w:val="auto"/>
                <w:szCs w:val="21"/>
                <w:lang w:val="en-US" w:eastAsia="zh-CN"/>
              </w:rPr>
              <w:t>投保人数（人）</w:t>
            </w:r>
          </w:p>
        </w:tc>
        <w:tc>
          <w:tcPr>
            <w:tcW w:w="1585" w:type="dxa"/>
            <w:tcBorders>
              <w:tl2br w:val="nil"/>
              <w:tr2bl w:val="nil"/>
            </w:tcBorders>
            <w:noWrap w:val="0"/>
            <w:vAlign w:val="center"/>
          </w:tcPr>
          <w:p>
            <w:pPr>
              <w:pStyle w:val="71"/>
              <w:spacing w:line="360" w:lineRule="auto"/>
              <w:jc w:val="center"/>
              <w:rPr>
                <w:rFonts w:hint="eastAsia" w:ascii="宋体" w:hAnsi="宋体"/>
                <w:color w:val="auto"/>
                <w:szCs w:val="21"/>
                <w:lang w:val="en-US" w:eastAsia="zh-CN"/>
              </w:rPr>
            </w:pPr>
            <w:r>
              <w:rPr>
                <w:rFonts w:hint="eastAsia" w:ascii="宋体" w:hAnsi="宋体"/>
                <w:color w:val="auto"/>
                <w:szCs w:val="21"/>
                <w:lang w:val="en-US" w:eastAsia="zh-CN"/>
              </w:rPr>
              <w:t>所有员工</w:t>
            </w:r>
          </w:p>
        </w:tc>
        <w:tc>
          <w:tcPr>
            <w:tcW w:w="1586" w:type="dxa"/>
            <w:tcBorders>
              <w:tl2br w:val="nil"/>
              <w:tr2bl w:val="nil"/>
            </w:tcBorders>
            <w:noWrap w:val="0"/>
            <w:vAlign w:val="center"/>
          </w:tcPr>
          <w:p>
            <w:pPr>
              <w:pStyle w:val="71"/>
              <w:spacing w:line="360" w:lineRule="auto"/>
              <w:jc w:val="center"/>
              <w:rPr>
                <w:rFonts w:hint="eastAsia" w:ascii="宋体" w:hAnsi="宋体"/>
                <w:color w:val="auto"/>
                <w:szCs w:val="21"/>
                <w:lang w:val="en-US" w:eastAsia="zh-CN"/>
              </w:rPr>
            </w:pPr>
            <w:r>
              <w:rPr>
                <w:rFonts w:hint="eastAsia" w:ascii="宋体" w:hAnsi="宋体"/>
                <w:color w:val="auto"/>
                <w:szCs w:val="21"/>
                <w:lang w:val="en-US" w:eastAsia="zh-CN"/>
              </w:rPr>
              <w:t>所有员工</w:t>
            </w:r>
          </w:p>
        </w:tc>
        <w:tc>
          <w:tcPr>
            <w:tcW w:w="2046" w:type="dxa"/>
            <w:tcBorders>
              <w:tl2br w:val="nil"/>
              <w:tr2bl w:val="nil"/>
            </w:tcBorders>
            <w:noWrap w:val="0"/>
            <w:vAlign w:val="center"/>
          </w:tcPr>
          <w:p>
            <w:pPr>
              <w:pStyle w:val="71"/>
              <w:spacing w:line="360" w:lineRule="auto"/>
              <w:jc w:val="center"/>
              <w:rPr>
                <w:rFonts w:hint="eastAsia" w:ascii="宋体" w:hAnsi="宋体"/>
                <w:color w:val="auto"/>
                <w:szCs w:val="21"/>
                <w:lang w:val="en-US" w:eastAsia="zh-CN"/>
              </w:rPr>
            </w:pPr>
            <w:r>
              <w:rPr>
                <w:rFonts w:hint="eastAsia" w:ascii="宋体" w:hAnsi="宋体"/>
                <w:color w:val="auto"/>
                <w:szCs w:val="21"/>
                <w:lang w:val="en-US" w:eastAsia="zh-CN"/>
              </w:rPr>
              <w:t>所有员工</w:t>
            </w:r>
          </w:p>
        </w:tc>
      </w:tr>
      <w:tr>
        <w:tblPrEx>
          <w:tblBorders>
            <w:top w:val="thinThickSmallGap" w:color="C2AA18" w:sz="18" w:space="0"/>
            <w:left w:val="none" w:color="auto" w:sz="0" w:space="0"/>
            <w:bottom w:val="thinThickSmallGap" w:color="C2AA18" w:sz="18" w:space="0"/>
            <w:right w:val="none" w:color="auto" w:sz="0" w:space="0"/>
            <w:insideH w:val="single" w:color="C2AA18" w:sz="4" w:space="0"/>
            <w:insideV w:val="single" w:color="C2AA18" w:sz="4" w:space="0"/>
          </w:tblBorders>
          <w:tblCellMar>
            <w:top w:w="0" w:type="dxa"/>
            <w:left w:w="108" w:type="dxa"/>
            <w:bottom w:w="0" w:type="dxa"/>
            <w:right w:w="108" w:type="dxa"/>
          </w:tblCellMar>
        </w:tblPrEx>
        <w:trPr>
          <w:trHeight w:val="454" w:hRule="atLeast"/>
          <w:jc w:val="center"/>
        </w:trPr>
        <w:tc>
          <w:tcPr>
            <w:tcW w:w="3738" w:type="dxa"/>
            <w:tcBorders>
              <w:tl2br w:val="nil"/>
              <w:tr2bl w:val="nil"/>
            </w:tcBorders>
            <w:noWrap w:val="0"/>
            <w:vAlign w:val="center"/>
          </w:tcPr>
          <w:p>
            <w:pPr>
              <w:pStyle w:val="71"/>
              <w:spacing w:line="360" w:lineRule="auto"/>
              <w:jc w:val="center"/>
              <w:rPr>
                <w:rFonts w:hint="eastAsia" w:ascii="宋体" w:hAnsi="宋体"/>
                <w:color w:val="auto"/>
                <w:szCs w:val="21"/>
                <w:lang w:val="en-US" w:eastAsia="zh-CN"/>
              </w:rPr>
            </w:pPr>
            <w:r>
              <w:rPr>
                <w:rFonts w:hint="eastAsia" w:ascii="宋体" w:hAnsi="宋体"/>
                <w:color w:val="auto"/>
                <w:szCs w:val="21"/>
                <w:lang w:val="en-US" w:eastAsia="zh-CN"/>
              </w:rPr>
              <w:t>员工体检</w:t>
            </w:r>
          </w:p>
        </w:tc>
        <w:tc>
          <w:tcPr>
            <w:tcW w:w="5217" w:type="dxa"/>
            <w:gridSpan w:val="3"/>
            <w:tcBorders>
              <w:tl2br w:val="nil"/>
              <w:tr2bl w:val="nil"/>
            </w:tcBorders>
            <w:noWrap w:val="0"/>
            <w:vAlign w:val="center"/>
          </w:tcPr>
          <w:p>
            <w:pPr>
              <w:pStyle w:val="71"/>
              <w:spacing w:line="360" w:lineRule="auto"/>
              <w:jc w:val="center"/>
              <w:rPr>
                <w:rFonts w:hint="eastAsia" w:ascii="宋体" w:hAnsi="宋体"/>
                <w:color w:val="auto"/>
                <w:szCs w:val="21"/>
                <w:lang w:val="en-US" w:eastAsia="zh-CN"/>
              </w:rPr>
            </w:pPr>
            <w:r>
              <w:rPr>
                <w:rFonts w:hint="eastAsia" w:ascii="宋体" w:hAnsi="宋体"/>
                <w:color w:val="auto"/>
                <w:szCs w:val="21"/>
                <w:lang w:val="en-US" w:eastAsia="zh-CN"/>
              </w:rPr>
              <w:t>所有特殊工种每年体检一次。</w:t>
            </w:r>
          </w:p>
        </w:tc>
      </w:tr>
    </w:tbl>
    <w:p>
      <w:pPr>
        <w:pStyle w:val="107"/>
        <w:spacing w:line="360" w:lineRule="auto"/>
        <w:ind w:firstLine="480"/>
        <w:rPr>
          <w:rFonts w:ascii="宋体" w:hAnsi="宋体"/>
          <w:color w:val="auto"/>
        </w:rPr>
      </w:pPr>
      <w:r>
        <w:rPr>
          <w:rFonts w:hint="eastAsia" w:ascii="宋体" w:hAnsi="宋体"/>
          <w:color w:val="auto"/>
        </w:rPr>
        <w:t>公司在日常运作过程中，非常注重员工抱怨状况，出现员工抱怨，及时协调相关部门了解情况并尽快处理，以消除员工的不满意程度，全身心地投入工作过程中，快乐学习，快乐工作，快乐生活。</w:t>
      </w:r>
    </w:p>
    <w:p>
      <w:pPr>
        <w:pStyle w:val="107"/>
        <w:spacing w:line="360" w:lineRule="auto"/>
        <w:ind w:firstLine="480"/>
        <w:rPr>
          <w:rFonts w:ascii="宋体" w:hAnsi="宋体"/>
          <w:color w:val="auto"/>
        </w:rPr>
      </w:pPr>
      <w:r>
        <w:rPr>
          <w:rFonts w:hint="eastAsia" w:ascii="宋体" w:hAnsi="宋体"/>
          <w:color w:val="auto"/>
        </w:rPr>
        <w:t>另外，公司每年做一次全体的员工满意度调查，统计分析后形成报告，针对性做改进。该工作逐年持续，取得了良好的成效，员工满意度逐年提升。</w:t>
      </w:r>
    </w:p>
    <w:p>
      <w:pPr>
        <w:spacing w:after="156" w:afterLines="50" w:line="360" w:lineRule="auto"/>
        <w:jc w:val="center"/>
        <w:rPr>
          <w:rFonts w:hint="eastAsia"/>
          <w:b/>
          <w:sz w:val="28"/>
          <w:szCs w:val="28"/>
        </w:rPr>
      </w:pPr>
      <w:r>
        <w:rPr>
          <w:rFonts w:hint="eastAsia"/>
          <w:b/>
          <w:sz w:val="28"/>
          <w:szCs w:val="28"/>
        </w:rPr>
        <w:t>结束语</w:t>
      </w:r>
    </w:p>
    <w:p>
      <w:pPr>
        <w:spacing w:line="360" w:lineRule="auto"/>
        <w:ind w:firstLine="600" w:firstLineChars="250"/>
        <w:jc w:val="left"/>
        <w:rPr>
          <w:rFonts w:hint="eastAsia" w:ascii="宋体" w:hAnsi="宋体"/>
          <w:sz w:val="24"/>
        </w:rPr>
      </w:pPr>
      <w:r>
        <w:rPr>
          <w:rFonts w:hint="eastAsia" w:ascii="宋体" w:hAnsi="宋体"/>
          <w:sz w:val="24"/>
        </w:rPr>
        <w:t>作为一家</w:t>
      </w:r>
      <w:r>
        <w:rPr>
          <w:rFonts w:hint="eastAsia" w:ascii="宋体" w:hAnsi="宋体" w:eastAsia="宋体"/>
          <w:sz w:val="24"/>
          <w:lang w:val="en-US" w:eastAsia="zh-CN"/>
        </w:rPr>
        <w:t>守法经营的公司</w:t>
      </w:r>
      <w:r>
        <w:rPr>
          <w:rFonts w:hint="eastAsia" w:ascii="宋体" w:hAnsi="宋体"/>
          <w:sz w:val="24"/>
        </w:rPr>
        <w:t>，</w:t>
      </w:r>
      <w:r>
        <w:rPr>
          <w:rFonts w:hint="eastAsia" w:ascii="宋体" w:hAnsi="宋体" w:eastAsia="宋体"/>
          <w:sz w:val="24"/>
          <w:lang w:eastAsia="zh-CN"/>
        </w:rPr>
        <w:t>浙江华晟</w:t>
      </w:r>
      <w:r>
        <w:rPr>
          <w:rFonts w:hint="eastAsia" w:ascii="宋体" w:hAnsi="宋体"/>
          <w:sz w:val="24"/>
        </w:rPr>
        <w:t>充分意识到企业成长与承担社会责任是相辅相成、密不可分的，公司重视为股东实现最佳回报，保护投资人的合法权益;注重与供方建立双赢的合作关系，注重回馈员工,实现员工的个人发展与公司发展同步增长;重视公司的发展要融入社会，积极回馈社会。</w:t>
      </w:r>
    </w:p>
    <w:p>
      <w:pPr>
        <w:spacing w:line="360" w:lineRule="auto"/>
        <w:ind w:firstLine="600" w:firstLineChars="250"/>
        <w:jc w:val="left"/>
        <w:rPr>
          <w:rFonts w:hint="eastAsia" w:ascii="宋体" w:hAnsi="宋体"/>
          <w:sz w:val="28"/>
          <w:szCs w:val="28"/>
        </w:rPr>
      </w:pPr>
      <w:r>
        <w:rPr>
          <w:rFonts w:hint="eastAsia" w:ascii="宋体" w:hAnsi="宋体"/>
          <w:sz w:val="24"/>
        </w:rPr>
        <w:t>展望未来，公司将一如既往的积极履行应当承担的社会责任和义务，以发展为中心，促进公司和所在区域的经济社会发展。在经营管理中，公司将进一步遵循诚实信用原则，遵守社会公德、商业道德，诚信对待供应商、客户，在保护好股东等利益相关方权益的同时，也要保护好广大职工的合法权益。公司将积极保护环境，在追求经济效益的同时更加重视社会与环境效益，以促进公司自身与全社会的协调、和谐发展。</w:t>
      </w:r>
    </w:p>
    <w:sectPr>
      <w:headerReference r:id="rId3" w:type="default"/>
      <w:footerReference r:id="rId4" w:type="default"/>
      <w:pgSz w:w="11906" w:h="16838"/>
      <w:pgMar w:top="1474" w:right="1304" w:bottom="1191" w:left="1304" w:header="425" w:footer="550" w:gutter="0"/>
      <w:pgBorders w:offsetFrom="page">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Garamond">
    <w:panose1 w:val="02020404030301010803"/>
    <w:charset w:val="00"/>
    <w:family w:val="roman"/>
    <w:pitch w:val="default"/>
    <w:sig w:usb0="00000287" w:usb1="00000000" w:usb2="00000000" w:usb3="00000000" w:csb0="0000009F" w:csb1="DFD70000"/>
  </w:font>
  <w:font w:name="Cambria">
    <w:panose1 w:val="02040503050406030204"/>
    <w:charset w:val="00"/>
    <w:family w:val="roman"/>
    <w:pitch w:val="default"/>
    <w:sig w:usb0="E00002FF" w:usb1="400004FF" w:usb2="00000000" w:usb3="00000000" w:csb0="2000019F" w:csb1="00000000"/>
  </w:font>
  <w:font w:name="Roman 10cpi">
    <w:altName w:val="Lucida Console"/>
    <w:panose1 w:val="00000000000000000000"/>
    <w:charset w:val="00"/>
    <w:family w:val="modern"/>
    <w:pitch w:val="default"/>
    <w:sig w:usb0="00000000" w:usb1="00000000" w:usb2="00000000" w:usb3="00000000" w:csb0="00000001" w:csb1="00000000"/>
  </w:font>
  <w:font w:name="Lucida Console">
    <w:panose1 w:val="020B0609040504020204"/>
    <w:charset w:val="00"/>
    <w:family w:val="auto"/>
    <w:pitch w:val="default"/>
    <w:sig w:usb0="8000028F" w:usb1="00001800" w:usb2="00000000" w:usb3="00000000" w:csb0="0000001F" w:csb1="D7D7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楷体_GB2312">
    <w:altName w:val="楷体"/>
    <w:panose1 w:val="00000000000000000000"/>
    <w:charset w:val="86"/>
    <w:family w:val="modern"/>
    <w:pitch w:val="default"/>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 w:name="Tahoma">
    <w:panose1 w:val="020B0604030504040204"/>
    <w:charset w:val="00"/>
    <w:family w:val="swiss"/>
    <w:pitch w:val="default"/>
    <w:sig w:usb0="E1002EFF" w:usb1="C000605B" w:usb2="00000029" w:usb3="00000000" w:csb0="200101FF" w:csb1="20280000"/>
  </w:font>
  <w:font w:name="华文琥珀">
    <w:panose1 w:val="02010800040101010101"/>
    <w:charset w:val="86"/>
    <w:family w:val="auto"/>
    <w:pitch w:val="default"/>
    <w:sig w:usb0="00000001" w:usb1="080F0000" w:usb2="00000000" w:usb3="00000000" w:csb0="00040000" w:csb1="00000000"/>
  </w:font>
  <w:font w:name="Courier New">
    <w:panose1 w:val="02070309020205020404"/>
    <w:charset w:val="00"/>
    <w:family w:val="modern"/>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212"/>
      <w:jc w:val="center"/>
    </w:pPr>
    <w:r>
      <w:t>-</w:t>
    </w:r>
    <w:r>
      <w:fldChar w:fldCharType="begin"/>
    </w:r>
    <w:r>
      <w:instrText xml:space="preserve"> PAGE   \* MERGEFORMAT </w:instrText>
    </w:r>
    <w:r>
      <w:fldChar w:fldCharType="separate"/>
    </w:r>
    <w:r>
      <w:rPr>
        <w:lang w:val="zh-CN"/>
      </w:rPr>
      <w:t>4</w:t>
    </w:r>
    <w:r>
      <w:fldChar w:fldCharType="end"/>
    </w:r>
    <w:r>
      <w:t>/</w:t>
    </w:r>
    <w:r>
      <w:rPr>
        <w:rFonts w:hint="eastAsia"/>
        <w:lang w:val="en-US" w:eastAsia="zh-CN"/>
      </w:rPr>
      <w:t>16</w:t>
    </w:r>
    <w:r>
      <w:t>-</w:t>
    </w:r>
  </w:p>
  <w:p>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2FE42B9"/>
    <w:multiLevelType w:val="multilevel"/>
    <w:tmpl w:val="72FE42B9"/>
    <w:lvl w:ilvl="0" w:tentative="0">
      <w:start w:val="1"/>
      <w:numFmt w:val="japaneseCounting"/>
      <w:lvlText w:val="%1、"/>
      <w:lvlJc w:val="left"/>
      <w:pPr>
        <w:ind w:left="1280" w:hanging="72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7C9A"/>
    <w:rsid w:val="00005AAD"/>
    <w:rsid w:val="00010F8E"/>
    <w:rsid w:val="00011E03"/>
    <w:rsid w:val="00015544"/>
    <w:rsid w:val="0001565A"/>
    <w:rsid w:val="00026597"/>
    <w:rsid w:val="00035874"/>
    <w:rsid w:val="00043A67"/>
    <w:rsid w:val="00043A91"/>
    <w:rsid w:val="0005127A"/>
    <w:rsid w:val="00066C4B"/>
    <w:rsid w:val="00072C37"/>
    <w:rsid w:val="00073F0F"/>
    <w:rsid w:val="0007756E"/>
    <w:rsid w:val="000A7188"/>
    <w:rsid w:val="000A7546"/>
    <w:rsid w:val="000C6C1D"/>
    <w:rsid w:val="000E05D8"/>
    <w:rsid w:val="000E075A"/>
    <w:rsid w:val="000F0B52"/>
    <w:rsid w:val="00122FE7"/>
    <w:rsid w:val="0013217D"/>
    <w:rsid w:val="00140E1C"/>
    <w:rsid w:val="00150CF6"/>
    <w:rsid w:val="0015313B"/>
    <w:rsid w:val="0015354E"/>
    <w:rsid w:val="00153D58"/>
    <w:rsid w:val="00163969"/>
    <w:rsid w:val="00171A72"/>
    <w:rsid w:val="00174958"/>
    <w:rsid w:val="0017540B"/>
    <w:rsid w:val="00193847"/>
    <w:rsid w:val="00193AFA"/>
    <w:rsid w:val="00195C78"/>
    <w:rsid w:val="001B289F"/>
    <w:rsid w:val="001B52B7"/>
    <w:rsid w:val="001D5DF0"/>
    <w:rsid w:val="001E6FDA"/>
    <w:rsid w:val="00204226"/>
    <w:rsid w:val="00207F8F"/>
    <w:rsid w:val="002144F2"/>
    <w:rsid w:val="00240F1A"/>
    <w:rsid w:val="00256623"/>
    <w:rsid w:val="002570C9"/>
    <w:rsid w:val="00272C06"/>
    <w:rsid w:val="00274FCC"/>
    <w:rsid w:val="00282144"/>
    <w:rsid w:val="00286806"/>
    <w:rsid w:val="00291F0E"/>
    <w:rsid w:val="002E6AEF"/>
    <w:rsid w:val="002F1E39"/>
    <w:rsid w:val="00305538"/>
    <w:rsid w:val="00326920"/>
    <w:rsid w:val="00327684"/>
    <w:rsid w:val="003312AA"/>
    <w:rsid w:val="00337A47"/>
    <w:rsid w:val="00344C55"/>
    <w:rsid w:val="0034694C"/>
    <w:rsid w:val="0035088B"/>
    <w:rsid w:val="00360BAE"/>
    <w:rsid w:val="00362643"/>
    <w:rsid w:val="00370B81"/>
    <w:rsid w:val="003732D3"/>
    <w:rsid w:val="00380120"/>
    <w:rsid w:val="00380592"/>
    <w:rsid w:val="00397CF6"/>
    <w:rsid w:val="003A6EDA"/>
    <w:rsid w:val="003B0D2A"/>
    <w:rsid w:val="003D50D2"/>
    <w:rsid w:val="003D5D61"/>
    <w:rsid w:val="003E07C2"/>
    <w:rsid w:val="003E4C32"/>
    <w:rsid w:val="003E5023"/>
    <w:rsid w:val="003F08E8"/>
    <w:rsid w:val="00400A35"/>
    <w:rsid w:val="0041635C"/>
    <w:rsid w:val="00432CA0"/>
    <w:rsid w:val="00490072"/>
    <w:rsid w:val="004952E5"/>
    <w:rsid w:val="004B7C59"/>
    <w:rsid w:val="004C1962"/>
    <w:rsid w:val="004C199D"/>
    <w:rsid w:val="004C3403"/>
    <w:rsid w:val="004C7DB3"/>
    <w:rsid w:val="004C7FC5"/>
    <w:rsid w:val="004D77FB"/>
    <w:rsid w:val="004E12F8"/>
    <w:rsid w:val="004F1360"/>
    <w:rsid w:val="004F48E5"/>
    <w:rsid w:val="0050109A"/>
    <w:rsid w:val="00502B24"/>
    <w:rsid w:val="005172F3"/>
    <w:rsid w:val="005235A7"/>
    <w:rsid w:val="0052691A"/>
    <w:rsid w:val="005274E5"/>
    <w:rsid w:val="00543424"/>
    <w:rsid w:val="00543DB7"/>
    <w:rsid w:val="00554370"/>
    <w:rsid w:val="0055523A"/>
    <w:rsid w:val="00574DA0"/>
    <w:rsid w:val="005763C4"/>
    <w:rsid w:val="005858BB"/>
    <w:rsid w:val="00587BEA"/>
    <w:rsid w:val="005A13F3"/>
    <w:rsid w:val="005A4C18"/>
    <w:rsid w:val="005B53EF"/>
    <w:rsid w:val="005C2311"/>
    <w:rsid w:val="005C4FC8"/>
    <w:rsid w:val="005E22F5"/>
    <w:rsid w:val="005E35F7"/>
    <w:rsid w:val="005E6F67"/>
    <w:rsid w:val="005F25B7"/>
    <w:rsid w:val="00604D31"/>
    <w:rsid w:val="00614AE3"/>
    <w:rsid w:val="00633F41"/>
    <w:rsid w:val="006420EC"/>
    <w:rsid w:val="0064646B"/>
    <w:rsid w:val="00653D97"/>
    <w:rsid w:val="00661FD3"/>
    <w:rsid w:val="006675C8"/>
    <w:rsid w:val="006807EB"/>
    <w:rsid w:val="006809CB"/>
    <w:rsid w:val="00693E84"/>
    <w:rsid w:val="006A2AE3"/>
    <w:rsid w:val="006B25B9"/>
    <w:rsid w:val="006C6419"/>
    <w:rsid w:val="006E1D99"/>
    <w:rsid w:val="006E7485"/>
    <w:rsid w:val="00702335"/>
    <w:rsid w:val="00702CA5"/>
    <w:rsid w:val="00712230"/>
    <w:rsid w:val="00715310"/>
    <w:rsid w:val="0073168A"/>
    <w:rsid w:val="007366BC"/>
    <w:rsid w:val="0074051F"/>
    <w:rsid w:val="00757770"/>
    <w:rsid w:val="00760613"/>
    <w:rsid w:val="00760F9C"/>
    <w:rsid w:val="007653F3"/>
    <w:rsid w:val="007721A1"/>
    <w:rsid w:val="00772507"/>
    <w:rsid w:val="00775CCC"/>
    <w:rsid w:val="00777A7A"/>
    <w:rsid w:val="0078468D"/>
    <w:rsid w:val="00784F0E"/>
    <w:rsid w:val="007924C3"/>
    <w:rsid w:val="007963C9"/>
    <w:rsid w:val="007A5007"/>
    <w:rsid w:val="007B16FF"/>
    <w:rsid w:val="007C0401"/>
    <w:rsid w:val="007C7870"/>
    <w:rsid w:val="007D4BC4"/>
    <w:rsid w:val="007E171C"/>
    <w:rsid w:val="007E2C65"/>
    <w:rsid w:val="007F1B08"/>
    <w:rsid w:val="00820E58"/>
    <w:rsid w:val="00835A97"/>
    <w:rsid w:val="0084136C"/>
    <w:rsid w:val="00852AE3"/>
    <w:rsid w:val="0086100F"/>
    <w:rsid w:val="00867B0A"/>
    <w:rsid w:val="008720EA"/>
    <w:rsid w:val="008860DB"/>
    <w:rsid w:val="008A69E8"/>
    <w:rsid w:val="008D5FD3"/>
    <w:rsid w:val="008D61DF"/>
    <w:rsid w:val="008F586D"/>
    <w:rsid w:val="008F7596"/>
    <w:rsid w:val="00911291"/>
    <w:rsid w:val="0091209D"/>
    <w:rsid w:val="00916694"/>
    <w:rsid w:val="00922360"/>
    <w:rsid w:val="00925079"/>
    <w:rsid w:val="00933493"/>
    <w:rsid w:val="00944571"/>
    <w:rsid w:val="0094586B"/>
    <w:rsid w:val="009523C4"/>
    <w:rsid w:val="00952D93"/>
    <w:rsid w:val="009713E4"/>
    <w:rsid w:val="009857E8"/>
    <w:rsid w:val="009950F9"/>
    <w:rsid w:val="009A2C25"/>
    <w:rsid w:val="009B3243"/>
    <w:rsid w:val="009C797B"/>
    <w:rsid w:val="009E5C8D"/>
    <w:rsid w:val="00A534DF"/>
    <w:rsid w:val="00A81B92"/>
    <w:rsid w:val="00A92F7C"/>
    <w:rsid w:val="00AC2D3F"/>
    <w:rsid w:val="00AD6EC8"/>
    <w:rsid w:val="00AE19B4"/>
    <w:rsid w:val="00B04E23"/>
    <w:rsid w:val="00B22220"/>
    <w:rsid w:val="00B356AE"/>
    <w:rsid w:val="00B45485"/>
    <w:rsid w:val="00B56E81"/>
    <w:rsid w:val="00B92340"/>
    <w:rsid w:val="00BA604E"/>
    <w:rsid w:val="00BC636D"/>
    <w:rsid w:val="00BD3A37"/>
    <w:rsid w:val="00C166E8"/>
    <w:rsid w:val="00C27403"/>
    <w:rsid w:val="00C41BDD"/>
    <w:rsid w:val="00C4229E"/>
    <w:rsid w:val="00C52522"/>
    <w:rsid w:val="00C82EE3"/>
    <w:rsid w:val="00C9332F"/>
    <w:rsid w:val="00C96C66"/>
    <w:rsid w:val="00C97D64"/>
    <w:rsid w:val="00CA3E26"/>
    <w:rsid w:val="00CA78B0"/>
    <w:rsid w:val="00CB6BA9"/>
    <w:rsid w:val="00CB77D9"/>
    <w:rsid w:val="00CC05F9"/>
    <w:rsid w:val="00CC2C40"/>
    <w:rsid w:val="00CE1EF1"/>
    <w:rsid w:val="00D004B5"/>
    <w:rsid w:val="00D34C22"/>
    <w:rsid w:val="00D40D85"/>
    <w:rsid w:val="00D553BB"/>
    <w:rsid w:val="00D62180"/>
    <w:rsid w:val="00D7631E"/>
    <w:rsid w:val="00D809A1"/>
    <w:rsid w:val="00D87D05"/>
    <w:rsid w:val="00D95413"/>
    <w:rsid w:val="00D95648"/>
    <w:rsid w:val="00DB7C9A"/>
    <w:rsid w:val="00DC06C1"/>
    <w:rsid w:val="00DC2848"/>
    <w:rsid w:val="00E1173C"/>
    <w:rsid w:val="00E12E4E"/>
    <w:rsid w:val="00E303E1"/>
    <w:rsid w:val="00E366A8"/>
    <w:rsid w:val="00E42FD2"/>
    <w:rsid w:val="00E62564"/>
    <w:rsid w:val="00E625CB"/>
    <w:rsid w:val="00E6454D"/>
    <w:rsid w:val="00E667F5"/>
    <w:rsid w:val="00E6686E"/>
    <w:rsid w:val="00E74FBD"/>
    <w:rsid w:val="00E810A8"/>
    <w:rsid w:val="00E936A2"/>
    <w:rsid w:val="00EA7662"/>
    <w:rsid w:val="00EB10B6"/>
    <w:rsid w:val="00EC1F06"/>
    <w:rsid w:val="00ED750D"/>
    <w:rsid w:val="00EE1B4B"/>
    <w:rsid w:val="00EE3BD8"/>
    <w:rsid w:val="00EE46E7"/>
    <w:rsid w:val="00F172E4"/>
    <w:rsid w:val="00F22D45"/>
    <w:rsid w:val="00F25325"/>
    <w:rsid w:val="00F30914"/>
    <w:rsid w:val="00F3500C"/>
    <w:rsid w:val="00F629A5"/>
    <w:rsid w:val="00F651CE"/>
    <w:rsid w:val="00F76BF0"/>
    <w:rsid w:val="00F80D36"/>
    <w:rsid w:val="00FD109A"/>
    <w:rsid w:val="00FE48AF"/>
    <w:rsid w:val="02E91BE6"/>
    <w:rsid w:val="066D5165"/>
    <w:rsid w:val="08314270"/>
    <w:rsid w:val="083D2B58"/>
    <w:rsid w:val="08B24BCB"/>
    <w:rsid w:val="09292562"/>
    <w:rsid w:val="143D2D46"/>
    <w:rsid w:val="16D7281C"/>
    <w:rsid w:val="17456DD2"/>
    <w:rsid w:val="1A2C5F6F"/>
    <w:rsid w:val="1DB829DA"/>
    <w:rsid w:val="1F5A27DF"/>
    <w:rsid w:val="20A96656"/>
    <w:rsid w:val="27687ED9"/>
    <w:rsid w:val="302D3BF9"/>
    <w:rsid w:val="327F413F"/>
    <w:rsid w:val="3442274A"/>
    <w:rsid w:val="37F21FAA"/>
    <w:rsid w:val="3CF75E69"/>
    <w:rsid w:val="485C6505"/>
    <w:rsid w:val="48AD45E3"/>
    <w:rsid w:val="49486806"/>
    <w:rsid w:val="4AEC5B78"/>
    <w:rsid w:val="5360256F"/>
    <w:rsid w:val="57BD247C"/>
    <w:rsid w:val="5A0F12C0"/>
    <w:rsid w:val="5A766390"/>
    <w:rsid w:val="5CF17AD7"/>
    <w:rsid w:val="61337A52"/>
    <w:rsid w:val="626F0BD3"/>
    <w:rsid w:val="678E165F"/>
    <w:rsid w:val="6CA87888"/>
    <w:rsid w:val="71A3665A"/>
    <w:rsid w:val="78ED749F"/>
    <w:rsid w:val="791A3054"/>
    <w:rsid w:val="7A4E35ED"/>
    <w:rsid w:val="7FF8029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sdException w:uiPriority="39" w:semiHidden="0" w:name="toc 2"/>
    <w:lsdException w:uiPriority="39" w:semiHidden="0" w:name="toc 3"/>
    <w:lsdException w:uiPriority="39" w:semiHidden="0" w:name="toc 4"/>
    <w:lsdException w:uiPriority="39" w:semiHidden="0" w:name="toc 5"/>
    <w:lsdException w:uiPriority="39" w:semiHidden="0" w:name="toc 6"/>
    <w:lsdException w:uiPriority="39" w:semiHidden="0" w:name="toc 7"/>
    <w:lsdException w:uiPriority="39" w:semiHidden="0" w:name="toc 8"/>
    <w:lsdException w:uiPriority="39" w:semiHidden="0" w:name="toc 9"/>
    <w:lsdException w:unhideWhenUsed="0" w:uiPriority="0" w:semiHidden="0" w:name="Normal Indent"/>
    <w:lsdException w:uiPriority="0" w:semiHidden="0" w:name="footnote text"/>
    <w:lsdException w:unhideWhenUsed="0" w:uiPriority="99" w:semiHidden="0" w:name="annotation text"/>
    <w:lsdException w:unhideWhenUsed="0" w:uiPriority="99" w:semiHidden="0" w:name="header"/>
    <w:lsdException w:unhideWhenUsed="0" w:uiPriority="99" w:semiHidden="0" w:name="footer"/>
    <w:lsdException w:unhideWhenUsed="0" w:uiPriority="0" w:semiHidden="0" w:name="index heading"/>
    <w:lsdException w:qFormat="1" w:unhideWhenUsed="0"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iPriority="99"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iPriority="99" w:semiHidden="0" w:name="Balloon Text"/>
    <w:lsdException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link w:val="43"/>
    <w:qFormat/>
    <w:uiPriority w:val="0"/>
    <w:pPr>
      <w:keepNext/>
      <w:keepLines/>
      <w:spacing w:before="100" w:beforeAutospacing="1" w:after="100" w:afterAutospacing="1" w:line="360" w:lineRule="auto"/>
      <w:outlineLvl w:val="0"/>
    </w:pPr>
    <w:rPr>
      <w:b/>
      <w:bCs/>
      <w:kern w:val="44"/>
      <w:sz w:val="44"/>
      <w:szCs w:val="44"/>
    </w:rPr>
  </w:style>
  <w:style w:type="paragraph" w:styleId="3">
    <w:name w:val="heading 2"/>
    <w:basedOn w:val="1"/>
    <w:next w:val="1"/>
    <w:link w:val="44"/>
    <w:qFormat/>
    <w:uiPriority w:val="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45"/>
    <w:qFormat/>
    <w:uiPriority w:val="9"/>
    <w:pPr>
      <w:keepNext/>
      <w:keepLines/>
      <w:widowControl/>
      <w:spacing w:before="260" w:after="260" w:line="412" w:lineRule="auto"/>
      <w:ind w:firstLine="224" w:firstLineChars="224"/>
      <w:outlineLvl w:val="2"/>
    </w:pPr>
    <w:rPr>
      <w:rFonts w:ascii="Calibri" w:hAnsi="Calibri"/>
      <w:b/>
      <w:bCs/>
      <w:sz w:val="32"/>
      <w:szCs w:val="32"/>
    </w:rPr>
  </w:style>
  <w:style w:type="character" w:default="1" w:styleId="37">
    <w:name w:val="Default Paragraph Font"/>
    <w:semiHidden/>
    <w:uiPriority w:val="0"/>
  </w:style>
  <w:style w:type="table" w:default="1" w:styleId="35">
    <w:name w:val="Normal Table"/>
    <w:semiHidden/>
    <w:uiPriority w:val="0"/>
    <w:tblPr>
      <w:tblStyle w:val="35"/>
      <w:tblCellMar>
        <w:top w:w="0" w:type="dxa"/>
        <w:left w:w="108" w:type="dxa"/>
        <w:bottom w:w="0" w:type="dxa"/>
        <w:right w:w="108" w:type="dxa"/>
      </w:tblCellMar>
    </w:tblPr>
  </w:style>
  <w:style w:type="paragraph" w:styleId="5">
    <w:name w:val="toc 7"/>
    <w:basedOn w:val="1"/>
    <w:next w:val="1"/>
    <w:unhideWhenUsed/>
    <w:uiPriority w:val="39"/>
    <w:pPr>
      <w:ind w:left="2520" w:leftChars="1200"/>
    </w:pPr>
    <w:rPr>
      <w:rFonts w:ascii="Calibri" w:hAnsi="Calibri" w:eastAsia="宋体" w:cs="Times New Roman"/>
      <w:szCs w:val="22"/>
    </w:rPr>
  </w:style>
  <w:style w:type="paragraph" w:styleId="6">
    <w:name w:val="Normal Indent"/>
    <w:basedOn w:val="1"/>
    <w:uiPriority w:val="0"/>
    <w:pPr>
      <w:ind w:firstLine="420"/>
    </w:pPr>
    <w:rPr>
      <w:rFonts w:ascii="Garamond" w:hAnsi="Garamond"/>
      <w:kern w:val="0"/>
      <w:sz w:val="18"/>
      <w:szCs w:val="20"/>
    </w:rPr>
  </w:style>
  <w:style w:type="paragraph" w:styleId="7">
    <w:name w:val="caption"/>
    <w:basedOn w:val="1"/>
    <w:next w:val="1"/>
    <w:link w:val="46"/>
    <w:qFormat/>
    <w:uiPriority w:val="35"/>
    <w:rPr>
      <w:rFonts w:ascii="Cambria" w:hAnsi="Cambria" w:eastAsia="黑体"/>
      <w:sz w:val="20"/>
      <w:szCs w:val="20"/>
    </w:rPr>
  </w:style>
  <w:style w:type="paragraph" w:styleId="8">
    <w:name w:val="Document Map"/>
    <w:basedOn w:val="1"/>
    <w:link w:val="47"/>
    <w:unhideWhenUsed/>
    <w:uiPriority w:val="99"/>
    <w:rPr>
      <w:rFonts w:ascii="宋体"/>
      <w:sz w:val="18"/>
      <w:szCs w:val="18"/>
    </w:rPr>
  </w:style>
  <w:style w:type="paragraph" w:styleId="9">
    <w:name w:val="annotation text"/>
    <w:basedOn w:val="1"/>
    <w:link w:val="48"/>
    <w:uiPriority w:val="99"/>
    <w:pPr>
      <w:jc w:val="left"/>
    </w:pPr>
  </w:style>
  <w:style w:type="paragraph" w:styleId="10">
    <w:name w:val="Body Text 3"/>
    <w:basedOn w:val="1"/>
    <w:link w:val="49"/>
    <w:uiPriority w:val="0"/>
    <w:pPr>
      <w:spacing w:after="120"/>
    </w:pPr>
    <w:rPr>
      <w:sz w:val="16"/>
      <w:szCs w:val="16"/>
    </w:rPr>
  </w:style>
  <w:style w:type="paragraph" w:styleId="11">
    <w:name w:val="Body Text"/>
    <w:basedOn w:val="1"/>
    <w:link w:val="50"/>
    <w:uiPriority w:val="0"/>
    <w:pPr>
      <w:spacing w:after="120"/>
    </w:pPr>
  </w:style>
  <w:style w:type="paragraph" w:styleId="12">
    <w:name w:val="Body Text Indent"/>
    <w:basedOn w:val="1"/>
    <w:link w:val="51"/>
    <w:uiPriority w:val="0"/>
    <w:pPr>
      <w:spacing w:after="120"/>
      <w:ind w:left="420" w:leftChars="200"/>
    </w:pPr>
  </w:style>
  <w:style w:type="paragraph" w:styleId="13">
    <w:name w:val="toc 5"/>
    <w:basedOn w:val="1"/>
    <w:next w:val="1"/>
    <w:unhideWhenUsed/>
    <w:uiPriority w:val="39"/>
    <w:pPr>
      <w:ind w:left="1680" w:leftChars="800"/>
    </w:pPr>
    <w:rPr>
      <w:rFonts w:ascii="Calibri" w:hAnsi="Calibri" w:eastAsia="宋体" w:cs="Times New Roman"/>
      <w:szCs w:val="22"/>
    </w:rPr>
  </w:style>
  <w:style w:type="paragraph" w:styleId="14">
    <w:name w:val="toc 3"/>
    <w:basedOn w:val="1"/>
    <w:next w:val="1"/>
    <w:unhideWhenUsed/>
    <w:uiPriority w:val="39"/>
    <w:pPr>
      <w:ind w:left="840" w:leftChars="400"/>
    </w:pPr>
  </w:style>
  <w:style w:type="paragraph" w:styleId="15">
    <w:name w:val="Plain Text"/>
    <w:basedOn w:val="1"/>
    <w:link w:val="52"/>
    <w:uiPriority w:val="0"/>
    <w:pPr>
      <w:ind w:firstLine="420" w:firstLineChars="200"/>
    </w:pPr>
    <w:rPr>
      <w:rFonts w:ascii="宋体" w:hAnsi="Roman 10cpi"/>
      <w:szCs w:val="20"/>
    </w:rPr>
  </w:style>
  <w:style w:type="paragraph" w:styleId="16">
    <w:name w:val="toc 8"/>
    <w:basedOn w:val="1"/>
    <w:next w:val="1"/>
    <w:unhideWhenUsed/>
    <w:uiPriority w:val="39"/>
    <w:pPr>
      <w:ind w:left="2940" w:leftChars="1400"/>
    </w:pPr>
    <w:rPr>
      <w:rFonts w:ascii="Calibri" w:hAnsi="Calibri" w:eastAsia="宋体" w:cs="Times New Roman"/>
      <w:szCs w:val="22"/>
    </w:rPr>
  </w:style>
  <w:style w:type="paragraph" w:styleId="17">
    <w:name w:val="Date"/>
    <w:basedOn w:val="1"/>
    <w:next w:val="1"/>
    <w:link w:val="53"/>
    <w:uiPriority w:val="0"/>
    <w:pPr>
      <w:ind w:left="100" w:leftChars="2500"/>
    </w:pPr>
  </w:style>
  <w:style w:type="paragraph" w:styleId="18">
    <w:name w:val="Body Text Indent 2"/>
    <w:basedOn w:val="1"/>
    <w:link w:val="54"/>
    <w:uiPriority w:val="0"/>
    <w:pPr>
      <w:ind w:left="1" w:firstLine="538" w:firstLineChars="192"/>
    </w:pPr>
    <w:rPr>
      <w:sz w:val="28"/>
    </w:rPr>
  </w:style>
  <w:style w:type="paragraph" w:styleId="19">
    <w:name w:val="Balloon Text"/>
    <w:basedOn w:val="1"/>
    <w:link w:val="55"/>
    <w:unhideWhenUsed/>
    <w:uiPriority w:val="99"/>
    <w:rPr>
      <w:sz w:val="18"/>
      <w:szCs w:val="18"/>
    </w:rPr>
  </w:style>
  <w:style w:type="paragraph" w:styleId="20">
    <w:name w:val="footer"/>
    <w:basedOn w:val="1"/>
    <w:link w:val="56"/>
    <w:uiPriority w:val="99"/>
    <w:pPr>
      <w:tabs>
        <w:tab w:val="center" w:pos="4153"/>
        <w:tab w:val="right" w:pos="8306"/>
      </w:tabs>
      <w:snapToGrid w:val="0"/>
      <w:jc w:val="left"/>
    </w:pPr>
    <w:rPr>
      <w:sz w:val="18"/>
      <w:szCs w:val="18"/>
    </w:rPr>
  </w:style>
  <w:style w:type="paragraph" w:styleId="21">
    <w:name w:val="header"/>
    <w:basedOn w:val="1"/>
    <w:link w:val="57"/>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1"/>
    <w:next w:val="1"/>
    <w:uiPriority w:val="39"/>
    <w:pPr>
      <w:spacing w:line="300" w:lineRule="atLeast"/>
    </w:pPr>
    <w:rPr>
      <w:rFonts w:ascii="宋体"/>
      <w:szCs w:val="20"/>
    </w:rPr>
  </w:style>
  <w:style w:type="paragraph" w:styleId="23">
    <w:name w:val="toc 4"/>
    <w:basedOn w:val="1"/>
    <w:next w:val="1"/>
    <w:unhideWhenUsed/>
    <w:uiPriority w:val="39"/>
    <w:pPr>
      <w:ind w:left="1260" w:leftChars="600"/>
    </w:pPr>
    <w:rPr>
      <w:rFonts w:ascii="Calibri" w:hAnsi="Calibri" w:eastAsia="宋体" w:cs="Times New Roman"/>
      <w:szCs w:val="22"/>
    </w:rPr>
  </w:style>
  <w:style w:type="paragraph" w:styleId="24">
    <w:name w:val="Subtitle"/>
    <w:basedOn w:val="1"/>
    <w:next w:val="1"/>
    <w:link w:val="58"/>
    <w:qFormat/>
    <w:uiPriority w:val="0"/>
    <w:pPr>
      <w:widowControl/>
      <w:spacing w:before="240" w:after="60" w:line="312" w:lineRule="auto"/>
      <w:ind w:firstLine="224" w:firstLineChars="224"/>
      <w:jc w:val="center"/>
      <w:outlineLvl w:val="1"/>
    </w:pPr>
    <w:rPr>
      <w:rFonts w:ascii="Cambria" w:hAnsi="Cambria"/>
      <w:b/>
      <w:bCs/>
      <w:kern w:val="28"/>
      <w:sz w:val="32"/>
      <w:szCs w:val="32"/>
    </w:rPr>
  </w:style>
  <w:style w:type="paragraph" w:styleId="25">
    <w:name w:val="footnote text"/>
    <w:basedOn w:val="1"/>
    <w:link w:val="59"/>
    <w:unhideWhenUsed/>
    <w:uiPriority w:val="0"/>
    <w:pPr>
      <w:snapToGrid w:val="0"/>
      <w:jc w:val="left"/>
    </w:pPr>
    <w:rPr>
      <w:kern w:val="0"/>
      <w:sz w:val="18"/>
      <w:szCs w:val="18"/>
    </w:rPr>
  </w:style>
  <w:style w:type="paragraph" w:styleId="26">
    <w:name w:val="toc 6"/>
    <w:basedOn w:val="1"/>
    <w:next w:val="1"/>
    <w:unhideWhenUsed/>
    <w:uiPriority w:val="39"/>
    <w:pPr>
      <w:ind w:left="2100" w:leftChars="1000"/>
    </w:pPr>
    <w:rPr>
      <w:rFonts w:ascii="Calibri" w:hAnsi="Calibri" w:eastAsia="宋体" w:cs="Times New Roman"/>
      <w:szCs w:val="22"/>
    </w:rPr>
  </w:style>
  <w:style w:type="paragraph" w:styleId="27">
    <w:name w:val="Body Text Indent 3"/>
    <w:basedOn w:val="1"/>
    <w:link w:val="60"/>
    <w:uiPriority w:val="0"/>
    <w:pPr>
      <w:spacing w:after="120"/>
      <w:ind w:left="420" w:leftChars="200"/>
    </w:pPr>
    <w:rPr>
      <w:sz w:val="16"/>
      <w:szCs w:val="16"/>
    </w:rPr>
  </w:style>
  <w:style w:type="paragraph" w:styleId="28">
    <w:name w:val="toc 2"/>
    <w:basedOn w:val="1"/>
    <w:next w:val="1"/>
    <w:unhideWhenUsed/>
    <w:uiPriority w:val="39"/>
    <w:pPr>
      <w:ind w:left="420" w:leftChars="200"/>
    </w:pPr>
  </w:style>
  <w:style w:type="paragraph" w:styleId="29">
    <w:name w:val="toc 9"/>
    <w:basedOn w:val="1"/>
    <w:next w:val="1"/>
    <w:unhideWhenUsed/>
    <w:uiPriority w:val="39"/>
    <w:pPr>
      <w:ind w:left="3360" w:leftChars="1600"/>
    </w:pPr>
    <w:rPr>
      <w:rFonts w:ascii="Calibri" w:hAnsi="Calibri" w:eastAsia="宋体" w:cs="Times New Roman"/>
      <w:szCs w:val="22"/>
    </w:rPr>
  </w:style>
  <w:style w:type="paragraph" w:styleId="30">
    <w:name w:val="Body Text 2"/>
    <w:basedOn w:val="1"/>
    <w:link w:val="61"/>
    <w:uiPriority w:val="0"/>
    <w:pPr>
      <w:spacing w:after="120" w:line="480" w:lineRule="auto"/>
    </w:pPr>
  </w:style>
  <w:style w:type="paragraph" w:styleId="31">
    <w:name w:val="Normal (Web)"/>
    <w:basedOn w:val="1"/>
    <w:uiPriority w:val="0"/>
    <w:pPr>
      <w:widowControl/>
      <w:spacing w:before="100" w:beforeAutospacing="1" w:after="100" w:afterAutospacing="1"/>
      <w:jc w:val="left"/>
    </w:pPr>
    <w:rPr>
      <w:rFonts w:hint="eastAsia" w:ascii="宋体" w:hAnsi="宋体"/>
      <w:kern w:val="0"/>
      <w:sz w:val="24"/>
    </w:rPr>
  </w:style>
  <w:style w:type="paragraph" w:styleId="32">
    <w:name w:val="index 1"/>
    <w:basedOn w:val="1"/>
    <w:next w:val="1"/>
    <w:uiPriority w:val="0"/>
  </w:style>
  <w:style w:type="paragraph" w:styleId="33">
    <w:name w:val="Title"/>
    <w:basedOn w:val="1"/>
    <w:next w:val="1"/>
    <w:link w:val="62"/>
    <w:qFormat/>
    <w:uiPriority w:val="0"/>
    <w:pPr>
      <w:spacing w:before="240" w:after="60"/>
      <w:jc w:val="center"/>
      <w:outlineLvl w:val="0"/>
    </w:pPr>
    <w:rPr>
      <w:rFonts w:ascii="Cambria" w:hAnsi="Cambria"/>
      <w:b/>
      <w:bCs/>
      <w:sz w:val="32"/>
      <w:szCs w:val="32"/>
    </w:rPr>
  </w:style>
  <w:style w:type="paragraph" w:styleId="34">
    <w:name w:val="annotation subject"/>
    <w:basedOn w:val="9"/>
    <w:next w:val="9"/>
    <w:link w:val="63"/>
    <w:uiPriority w:val="0"/>
    <w:rPr>
      <w:b/>
      <w:bCs/>
    </w:rPr>
  </w:style>
  <w:style w:type="table" w:styleId="36">
    <w:name w:val="Table Grid"/>
    <w:basedOn w:val="35"/>
    <w:uiPriority w:val="59"/>
    <w:rPr>
      <w:rFonts w:ascii="Calibri" w:hAnsi="Calibri" w:eastAsia="宋体" w:cs="Times New Roman"/>
      <w:kern w:val="2"/>
      <w:sz w:val="21"/>
      <w:szCs w:val="22"/>
    </w:rPr>
    <w:tblPr>
      <w:tblStyle w:val="35"/>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8">
    <w:name w:val="page number"/>
    <w:basedOn w:val="37"/>
    <w:uiPriority w:val="0"/>
  </w:style>
  <w:style w:type="character" w:styleId="39">
    <w:name w:val="Emphasis"/>
    <w:qFormat/>
    <w:uiPriority w:val="20"/>
    <w:rPr>
      <w:i/>
      <w:iCs/>
    </w:rPr>
  </w:style>
  <w:style w:type="character" w:styleId="40">
    <w:name w:val="Hyperlink"/>
    <w:unhideWhenUsed/>
    <w:uiPriority w:val="99"/>
    <w:rPr>
      <w:color w:val="0000FF"/>
      <w:u w:val="single"/>
    </w:rPr>
  </w:style>
  <w:style w:type="character" w:styleId="41">
    <w:name w:val="annotation reference"/>
    <w:uiPriority w:val="0"/>
    <w:rPr>
      <w:sz w:val="21"/>
      <w:szCs w:val="21"/>
    </w:rPr>
  </w:style>
  <w:style w:type="character" w:styleId="42">
    <w:name w:val="footnote reference"/>
    <w:uiPriority w:val="0"/>
    <w:rPr>
      <w:vertAlign w:val="superscript"/>
    </w:rPr>
  </w:style>
  <w:style w:type="character" w:customStyle="1" w:styleId="43">
    <w:name w:val="标题 1 Char"/>
    <w:link w:val="2"/>
    <w:uiPriority w:val="0"/>
    <w:rPr>
      <w:b/>
      <w:bCs/>
      <w:kern w:val="44"/>
      <w:sz w:val="44"/>
      <w:szCs w:val="44"/>
    </w:rPr>
  </w:style>
  <w:style w:type="character" w:customStyle="1" w:styleId="44">
    <w:name w:val="标题 2 Char"/>
    <w:link w:val="3"/>
    <w:uiPriority w:val="9"/>
    <w:rPr>
      <w:rFonts w:ascii="Arial" w:hAnsi="Arial" w:eastAsia="黑体"/>
      <w:b/>
      <w:bCs/>
      <w:kern w:val="2"/>
      <w:sz w:val="32"/>
      <w:szCs w:val="32"/>
    </w:rPr>
  </w:style>
  <w:style w:type="character" w:customStyle="1" w:styleId="45">
    <w:name w:val="标题 3 Char"/>
    <w:link w:val="4"/>
    <w:semiHidden/>
    <w:uiPriority w:val="9"/>
    <w:rPr>
      <w:rFonts w:ascii="Calibri" w:hAnsi="Calibri" w:cs="Times New Roman"/>
      <w:b/>
      <w:bCs/>
      <w:kern w:val="2"/>
      <w:sz w:val="32"/>
      <w:szCs w:val="32"/>
    </w:rPr>
  </w:style>
  <w:style w:type="character" w:customStyle="1" w:styleId="46">
    <w:name w:val="题注 Char"/>
    <w:link w:val="7"/>
    <w:uiPriority w:val="35"/>
    <w:rPr>
      <w:rFonts w:ascii="Cambria" w:hAnsi="Cambria" w:eastAsia="黑体"/>
      <w:kern w:val="2"/>
    </w:rPr>
  </w:style>
  <w:style w:type="character" w:customStyle="1" w:styleId="47">
    <w:name w:val="文档结构图 Char"/>
    <w:link w:val="8"/>
    <w:uiPriority w:val="99"/>
    <w:rPr>
      <w:rFonts w:ascii="宋体"/>
      <w:kern w:val="2"/>
      <w:sz w:val="18"/>
      <w:szCs w:val="18"/>
    </w:rPr>
  </w:style>
  <w:style w:type="character" w:customStyle="1" w:styleId="48">
    <w:name w:val="批注文字 Char"/>
    <w:link w:val="9"/>
    <w:uiPriority w:val="99"/>
    <w:rPr>
      <w:kern w:val="2"/>
      <w:sz w:val="21"/>
      <w:szCs w:val="24"/>
    </w:rPr>
  </w:style>
  <w:style w:type="character" w:customStyle="1" w:styleId="49">
    <w:name w:val="正文文本 3 Char"/>
    <w:link w:val="10"/>
    <w:uiPriority w:val="0"/>
    <w:rPr>
      <w:kern w:val="2"/>
      <w:sz w:val="16"/>
      <w:szCs w:val="16"/>
    </w:rPr>
  </w:style>
  <w:style w:type="character" w:customStyle="1" w:styleId="50">
    <w:name w:val="正文文本 Char"/>
    <w:link w:val="11"/>
    <w:uiPriority w:val="0"/>
    <w:rPr>
      <w:kern w:val="2"/>
      <w:sz w:val="21"/>
      <w:szCs w:val="24"/>
    </w:rPr>
  </w:style>
  <w:style w:type="character" w:customStyle="1" w:styleId="51">
    <w:name w:val="正文文本缩进 Char"/>
    <w:link w:val="12"/>
    <w:uiPriority w:val="0"/>
    <w:rPr>
      <w:kern w:val="2"/>
      <w:sz w:val="21"/>
      <w:szCs w:val="24"/>
    </w:rPr>
  </w:style>
  <w:style w:type="character" w:customStyle="1" w:styleId="52">
    <w:name w:val="纯文本 Char"/>
    <w:link w:val="15"/>
    <w:uiPriority w:val="0"/>
    <w:rPr>
      <w:rFonts w:ascii="宋体" w:hAnsi="Roman 10cpi"/>
      <w:kern w:val="2"/>
      <w:sz w:val="21"/>
    </w:rPr>
  </w:style>
  <w:style w:type="character" w:customStyle="1" w:styleId="53">
    <w:name w:val="日期 Char"/>
    <w:link w:val="17"/>
    <w:uiPriority w:val="0"/>
    <w:rPr>
      <w:kern w:val="2"/>
      <w:sz w:val="21"/>
      <w:szCs w:val="24"/>
    </w:rPr>
  </w:style>
  <w:style w:type="character" w:customStyle="1" w:styleId="54">
    <w:name w:val="正文文本缩进 2 Char"/>
    <w:link w:val="18"/>
    <w:uiPriority w:val="0"/>
    <w:rPr>
      <w:kern w:val="2"/>
      <w:sz w:val="28"/>
      <w:szCs w:val="24"/>
    </w:rPr>
  </w:style>
  <w:style w:type="character" w:customStyle="1" w:styleId="55">
    <w:name w:val="批注框文本 Char"/>
    <w:link w:val="19"/>
    <w:uiPriority w:val="99"/>
    <w:rPr>
      <w:kern w:val="2"/>
      <w:sz w:val="18"/>
      <w:szCs w:val="18"/>
    </w:rPr>
  </w:style>
  <w:style w:type="character" w:customStyle="1" w:styleId="56">
    <w:name w:val="页脚 Char"/>
    <w:link w:val="20"/>
    <w:uiPriority w:val="99"/>
    <w:rPr>
      <w:kern w:val="2"/>
      <w:sz w:val="18"/>
      <w:szCs w:val="18"/>
    </w:rPr>
  </w:style>
  <w:style w:type="character" w:customStyle="1" w:styleId="57">
    <w:name w:val="页眉 Char"/>
    <w:link w:val="21"/>
    <w:uiPriority w:val="99"/>
    <w:rPr>
      <w:kern w:val="2"/>
      <w:sz w:val="18"/>
      <w:szCs w:val="18"/>
    </w:rPr>
  </w:style>
  <w:style w:type="character" w:customStyle="1" w:styleId="58">
    <w:name w:val="副标题 Char"/>
    <w:link w:val="24"/>
    <w:uiPriority w:val="0"/>
    <w:rPr>
      <w:rFonts w:ascii="Cambria" w:hAnsi="Cambria" w:cs="Times New Roman"/>
      <w:b/>
      <w:bCs/>
      <w:kern w:val="28"/>
      <w:sz w:val="32"/>
      <w:szCs w:val="32"/>
    </w:rPr>
  </w:style>
  <w:style w:type="character" w:customStyle="1" w:styleId="59">
    <w:name w:val="脚注文本 Char"/>
    <w:link w:val="25"/>
    <w:uiPriority w:val="0"/>
    <w:rPr>
      <w:sz w:val="18"/>
      <w:szCs w:val="18"/>
    </w:rPr>
  </w:style>
  <w:style w:type="character" w:customStyle="1" w:styleId="60">
    <w:name w:val="正文文本缩进 3 Char"/>
    <w:link w:val="27"/>
    <w:uiPriority w:val="0"/>
    <w:rPr>
      <w:kern w:val="2"/>
      <w:sz w:val="16"/>
      <w:szCs w:val="16"/>
    </w:rPr>
  </w:style>
  <w:style w:type="character" w:customStyle="1" w:styleId="61">
    <w:name w:val="正文文本 2 Char"/>
    <w:link w:val="30"/>
    <w:uiPriority w:val="0"/>
    <w:rPr>
      <w:kern w:val="2"/>
      <w:sz w:val="21"/>
      <w:szCs w:val="24"/>
    </w:rPr>
  </w:style>
  <w:style w:type="character" w:customStyle="1" w:styleId="62">
    <w:name w:val="标题 Char"/>
    <w:link w:val="33"/>
    <w:uiPriority w:val="0"/>
    <w:rPr>
      <w:rFonts w:ascii="Cambria" w:hAnsi="Cambria" w:cs="Times New Roman"/>
      <w:b/>
      <w:bCs/>
      <w:kern w:val="2"/>
      <w:sz w:val="32"/>
      <w:szCs w:val="32"/>
    </w:rPr>
  </w:style>
  <w:style w:type="character" w:customStyle="1" w:styleId="63">
    <w:name w:val="批注主题 Char"/>
    <w:link w:val="34"/>
    <w:uiPriority w:val="0"/>
    <w:rPr>
      <w:b/>
      <w:bCs/>
      <w:kern w:val="2"/>
      <w:sz w:val="21"/>
      <w:szCs w:val="24"/>
    </w:rPr>
  </w:style>
  <w:style w:type="character" w:customStyle="1" w:styleId="64">
    <w:name w:val="a） Char"/>
    <w:link w:val="65"/>
    <w:uiPriority w:val="0"/>
    <w:rPr>
      <w:rFonts w:ascii="宋体" w:hAnsi="宋体"/>
      <w:b/>
      <w:color w:val="000000"/>
      <w:kern w:val="2"/>
      <w:sz w:val="28"/>
      <w:szCs w:val="28"/>
    </w:rPr>
  </w:style>
  <w:style w:type="paragraph" w:customStyle="1" w:styleId="65">
    <w:name w:val="a）"/>
    <w:basedOn w:val="1"/>
    <w:link w:val="64"/>
    <w:uiPriority w:val="0"/>
    <w:pPr>
      <w:spacing w:line="360" w:lineRule="auto"/>
      <w:ind w:firstLine="551" w:firstLineChars="196"/>
    </w:pPr>
    <w:rPr>
      <w:rFonts w:ascii="宋体" w:hAnsi="宋体"/>
      <w:b/>
      <w:color w:val="000000"/>
      <w:sz w:val="28"/>
      <w:szCs w:val="28"/>
    </w:rPr>
  </w:style>
  <w:style w:type="character" w:customStyle="1" w:styleId="66">
    <w:name w:val="表头 Char"/>
    <w:link w:val="67"/>
    <w:uiPriority w:val="0"/>
    <w:rPr>
      <w:rFonts w:ascii="黑体" w:hAnsi="黑体" w:eastAsia="黑体" w:cs="Times New Roman"/>
      <w:kern w:val="2"/>
      <w:sz w:val="21"/>
      <w:szCs w:val="21"/>
    </w:rPr>
  </w:style>
  <w:style w:type="paragraph" w:customStyle="1" w:styleId="67">
    <w:name w:val="表头"/>
    <w:basedOn w:val="1"/>
    <w:link w:val="66"/>
    <w:qFormat/>
    <w:uiPriority w:val="0"/>
    <w:pPr>
      <w:widowControl/>
      <w:adjustRightInd w:val="0"/>
      <w:snapToGrid w:val="0"/>
      <w:spacing w:line="400" w:lineRule="exact"/>
      <w:ind w:firstLine="224" w:firstLineChars="224"/>
      <w:jc w:val="center"/>
    </w:pPr>
    <w:rPr>
      <w:rFonts w:ascii="黑体" w:hAnsi="黑体" w:eastAsia="黑体"/>
      <w:szCs w:val="21"/>
    </w:rPr>
  </w:style>
  <w:style w:type="character" w:customStyle="1" w:styleId="68">
    <w:name w:val="表名 Char"/>
    <w:link w:val="69"/>
    <w:uiPriority w:val="99"/>
    <w:rPr>
      <w:rFonts w:ascii="黑体" w:hAnsi="黑体" w:eastAsia="黑体"/>
      <w:kern w:val="2"/>
      <w:sz w:val="21"/>
      <w:szCs w:val="21"/>
    </w:rPr>
  </w:style>
  <w:style w:type="paragraph" w:customStyle="1" w:styleId="69">
    <w:name w:val="表名"/>
    <w:basedOn w:val="1"/>
    <w:link w:val="68"/>
    <w:uiPriority w:val="99"/>
    <w:pPr>
      <w:adjustRightInd w:val="0"/>
      <w:snapToGrid w:val="0"/>
      <w:spacing w:line="400" w:lineRule="exact"/>
      <w:jc w:val="center"/>
    </w:pPr>
    <w:rPr>
      <w:rFonts w:ascii="黑体" w:hAnsi="黑体" w:eastAsia="黑体"/>
      <w:szCs w:val="21"/>
    </w:rPr>
  </w:style>
  <w:style w:type="character" w:customStyle="1" w:styleId="70">
    <w:name w:val="YL图内容 Char"/>
    <w:link w:val="71"/>
    <w:uiPriority w:val="0"/>
    <w:rPr>
      <w:rFonts w:ascii="仿宋" w:hAnsi="仿宋" w:eastAsia="宋体"/>
      <w:color w:val="000000"/>
      <w:kern w:val="2"/>
      <w:sz w:val="21"/>
      <w:szCs w:val="24"/>
    </w:rPr>
  </w:style>
  <w:style w:type="paragraph" w:customStyle="1" w:styleId="71">
    <w:name w:val="YL图内容"/>
    <w:basedOn w:val="1"/>
    <w:link w:val="70"/>
    <w:qFormat/>
    <w:uiPriority w:val="0"/>
    <w:pPr>
      <w:spacing w:line="264" w:lineRule="auto"/>
      <w:jc w:val="center"/>
    </w:pPr>
    <w:rPr>
      <w:rFonts w:ascii="仿宋" w:hAnsi="仿宋"/>
      <w:color w:val="000000"/>
    </w:rPr>
  </w:style>
  <w:style w:type="character" w:customStyle="1" w:styleId="72">
    <w:name w:val="YL六级 Char"/>
    <w:link w:val="73"/>
    <w:uiPriority w:val="0"/>
    <w:rPr>
      <w:rFonts w:ascii="仿宋" w:hAnsi="仿宋" w:eastAsia="宋体"/>
      <w:b/>
      <w:color w:val="000000"/>
      <w:kern w:val="2"/>
      <w:sz w:val="24"/>
      <w:szCs w:val="24"/>
    </w:rPr>
  </w:style>
  <w:style w:type="paragraph" w:customStyle="1" w:styleId="73">
    <w:name w:val="YL六级"/>
    <w:basedOn w:val="1"/>
    <w:link w:val="72"/>
    <w:qFormat/>
    <w:uiPriority w:val="0"/>
    <w:pPr>
      <w:adjustRightInd w:val="0"/>
      <w:spacing w:beforeLines="50" w:afterLines="50"/>
      <w:ind w:firstLine="200" w:firstLineChars="200"/>
      <w:jc w:val="left"/>
      <w:outlineLvl w:val="5"/>
    </w:pPr>
    <w:rPr>
      <w:rFonts w:ascii="仿宋" w:hAnsi="仿宋"/>
      <w:b/>
      <w:color w:val="000000"/>
      <w:sz w:val="24"/>
    </w:rPr>
  </w:style>
  <w:style w:type="character" w:customStyle="1" w:styleId="74">
    <w:name w:val="一级标题 Char"/>
    <w:link w:val="75"/>
    <w:uiPriority w:val="0"/>
    <w:rPr>
      <w:rFonts w:ascii="黑体" w:hAnsi="黑体" w:eastAsia="黑体"/>
      <w:b/>
      <w:kern w:val="2"/>
      <w:sz w:val="36"/>
      <w:szCs w:val="36"/>
    </w:rPr>
  </w:style>
  <w:style w:type="paragraph" w:customStyle="1" w:styleId="75">
    <w:name w:val="一级标题"/>
    <w:basedOn w:val="12"/>
    <w:link w:val="74"/>
    <w:uiPriority w:val="0"/>
    <w:pPr>
      <w:widowControl/>
      <w:spacing w:after="0" w:line="360" w:lineRule="auto"/>
      <w:ind w:left="0" w:leftChars="0"/>
    </w:pPr>
    <w:rPr>
      <w:rFonts w:ascii="黑体" w:hAnsi="黑体" w:eastAsia="黑体"/>
      <w:b/>
      <w:sz w:val="36"/>
      <w:szCs w:val="36"/>
    </w:rPr>
  </w:style>
  <w:style w:type="character" w:customStyle="1" w:styleId="76">
    <w:name w:val="图表 Char"/>
    <w:link w:val="77"/>
    <w:locked/>
    <w:uiPriority w:val="0"/>
    <w:rPr>
      <w:rFonts w:ascii="宋体" w:hAnsi="宋体"/>
    </w:rPr>
  </w:style>
  <w:style w:type="paragraph" w:customStyle="1" w:styleId="77">
    <w:name w:val="图表"/>
    <w:basedOn w:val="1"/>
    <w:link w:val="76"/>
    <w:uiPriority w:val="0"/>
    <w:pPr>
      <w:widowControl/>
      <w:spacing w:line="300" w:lineRule="auto"/>
      <w:ind w:firstLine="223" w:firstLineChars="106"/>
      <w:jc w:val="center"/>
    </w:pPr>
    <w:rPr>
      <w:rFonts w:ascii="宋体" w:hAnsi="宋体"/>
      <w:kern w:val="0"/>
      <w:sz w:val="20"/>
      <w:szCs w:val="20"/>
    </w:rPr>
  </w:style>
  <w:style w:type="character" w:customStyle="1" w:styleId="78">
    <w:name w:val="XN图标 Char"/>
    <w:link w:val="79"/>
    <w:locked/>
    <w:uiPriority w:val="0"/>
    <w:rPr>
      <w:rFonts w:ascii="仿宋" w:hAnsi="仿宋" w:eastAsia="仿宋"/>
      <w:color w:val="000000"/>
      <w:szCs w:val="24"/>
    </w:rPr>
  </w:style>
  <w:style w:type="paragraph" w:customStyle="1" w:styleId="79">
    <w:name w:val="XN图标"/>
    <w:basedOn w:val="1"/>
    <w:link w:val="78"/>
    <w:uiPriority w:val="0"/>
    <w:pPr>
      <w:spacing w:line="264" w:lineRule="auto"/>
      <w:jc w:val="center"/>
    </w:pPr>
    <w:rPr>
      <w:rFonts w:ascii="仿宋" w:hAnsi="仿宋" w:eastAsia="仿宋"/>
      <w:color w:val="000000"/>
      <w:kern w:val="0"/>
      <w:sz w:val="20"/>
    </w:rPr>
  </w:style>
  <w:style w:type="character" w:customStyle="1" w:styleId="80">
    <w:name w:val="样式 宋体 小四"/>
    <w:uiPriority w:val="0"/>
    <w:rPr>
      <w:rFonts w:ascii="宋体" w:hAnsi="宋体"/>
      <w:sz w:val="24"/>
    </w:rPr>
  </w:style>
  <w:style w:type="character" w:customStyle="1" w:styleId="81">
    <w:name w:val="表头 Char Char"/>
    <w:uiPriority w:val="0"/>
    <w:rPr>
      <w:rFonts w:ascii="黑体" w:hAnsi="黑体" w:eastAsia="黑体" w:cs="黑体"/>
      <w:kern w:val="2"/>
      <w:sz w:val="21"/>
      <w:szCs w:val="21"/>
    </w:rPr>
  </w:style>
  <w:style w:type="character" w:customStyle="1" w:styleId="82">
    <w:name w:val="文 Char Char"/>
    <w:uiPriority w:val="0"/>
    <w:rPr>
      <w:rFonts w:ascii="宋体" w:hAnsi="宋体" w:eastAsia="宋体" w:cs="黑体"/>
      <w:kern w:val="2"/>
      <w:sz w:val="24"/>
      <w:szCs w:val="24"/>
    </w:rPr>
  </w:style>
  <w:style w:type="character" w:customStyle="1" w:styleId="83">
    <w:name w:val="图表内容 Char"/>
    <w:basedOn w:val="84"/>
    <w:link w:val="88"/>
    <w:locked/>
    <w:uiPriority w:val="0"/>
  </w:style>
  <w:style w:type="character" w:customStyle="1" w:styleId="84">
    <w:name w:val="图表名1 Char"/>
    <w:basedOn w:val="85"/>
    <w:link w:val="87"/>
    <w:locked/>
    <w:uiPriority w:val="0"/>
  </w:style>
  <w:style w:type="character" w:customStyle="1" w:styleId="85">
    <w:name w:val="图表名 Char"/>
    <w:link w:val="86"/>
    <w:locked/>
    <w:uiPriority w:val="0"/>
    <w:rPr>
      <w:rFonts w:ascii="宋体" w:hAnsi="宋体"/>
      <w:b/>
      <w:bCs/>
      <w:szCs w:val="21"/>
    </w:rPr>
  </w:style>
  <w:style w:type="paragraph" w:customStyle="1" w:styleId="86">
    <w:name w:val="图表名"/>
    <w:basedOn w:val="1"/>
    <w:link w:val="85"/>
    <w:uiPriority w:val="0"/>
    <w:pPr>
      <w:widowControl/>
      <w:spacing w:line="120" w:lineRule="auto"/>
      <w:ind w:firstLine="472" w:firstLineChars="224"/>
      <w:jc w:val="center"/>
    </w:pPr>
    <w:rPr>
      <w:rFonts w:ascii="宋体" w:hAnsi="宋体"/>
      <w:b/>
      <w:bCs/>
      <w:kern w:val="0"/>
      <w:sz w:val="20"/>
      <w:szCs w:val="21"/>
    </w:rPr>
  </w:style>
  <w:style w:type="paragraph" w:customStyle="1" w:styleId="87">
    <w:name w:val="图表名1"/>
    <w:basedOn w:val="86"/>
    <w:link w:val="84"/>
    <w:uiPriority w:val="0"/>
    <w:pPr>
      <w:ind w:left="100" w:leftChars="100" w:right="100" w:rightChars="100" w:firstLine="224"/>
    </w:pPr>
  </w:style>
  <w:style w:type="paragraph" w:customStyle="1" w:styleId="88">
    <w:name w:val="图表内容"/>
    <w:basedOn w:val="87"/>
    <w:link w:val="83"/>
    <w:uiPriority w:val="0"/>
    <w:pPr>
      <w:ind w:left="99" w:leftChars="47" w:right="210" w:firstLine="0" w:firstLineChars="0"/>
    </w:pPr>
  </w:style>
  <w:style w:type="character" w:customStyle="1" w:styleId="89">
    <w:name w:val="二级标题 Char"/>
    <w:link w:val="90"/>
    <w:uiPriority w:val="0"/>
    <w:rPr>
      <w:rFonts w:ascii="黑体" w:hAnsi="黑体" w:eastAsia="黑体"/>
      <w:b/>
      <w:kern w:val="2"/>
      <w:sz w:val="30"/>
      <w:szCs w:val="30"/>
    </w:rPr>
  </w:style>
  <w:style w:type="paragraph" w:customStyle="1" w:styleId="90">
    <w:name w:val="二级标题"/>
    <w:basedOn w:val="12"/>
    <w:link w:val="89"/>
    <w:uiPriority w:val="0"/>
    <w:pPr>
      <w:widowControl/>
      <w:spacing w:after="0" w:line="360" w:lineRule="auto"/>
      <w:ind w:left="0" w:leftChars="0"/>
    </w:pPr>
    <w:rPr>
      <w:rFonts w:ascii="黑体" w:hAnsi="黑体" w:eastAsia="黑体"/>
      <w:b/>
      <w:sz w:val="30"/>
      <w:szCs w:val="30"/>
    </w:rPr>
  </w:style>
  <w:style w:type="character" w:customStyle="1" w:styleId="91">
    <w:name w:val="apple-style-span"/>
    <w:basedOn w:val="37"/>
    <w:uiPriority w:val="0"/>
  </w:style>
  <w:style w:type="character" w:customStyle="1" w:styleId="92">
    <w:name w:val="① Char"/>
    <w:link w:val="93"/>
    <w:uiPriority w:val="0"/>
    <w:rPr>
      <w:rFonts w:ascii="Calibri" w:hAnsi="Calibri" w:eastAsia="宋体" w:cs="Times New Roman"/>
      <w:kern w:val="2"/>
      <w:sz w:val="24"/>
      <w:szCs w:val="22"/>
    </w:rPr>
  </w:style>
  <w:style w:type="paragraph" w:customStyle="1" w:styleId="93">
    <w:name w:val="①"/>
    <w:basedOn w:val="1"/>
    <w:link w:val="92"/>
    <w:uiPriority w:val="0"/>
    <w:pPr>
      <w:widowControl/>
      <w:spacing w:line="400" w:lineRule="exact"/>
      <w:ind w:firstLine="420" w:firstLineChars="224"/>
    </w:pPr>
    <w:rPr>
      <w:rFonts w:ascii="Calibri" w:hAnsi="Calibri"/>
      <w:sz w:val="24"/>
      <w:szCs w:val="22"/>
    </w:rPr>
  </w:style>
  <w:style w:type="character" w:customStyle="1" w:styleId="94">
    <w:name w:val="a标题 Char"/>
    <w:link w:val="95"/>
    <w:uiPriority w:val="0"/>
    <w:rPr>
      <w:rFonts w:ascii="宋体" w:hAnsi="宋体" w:eastAsia="宋体" w:cs="Times New Roman"/>
      <w:b/>
      <w:color w:val="000000"/>
      <w:kern w:val="2"/>
      <w:sz w:val="28"/>
      <w:szCs w:val="28"/>
    </w:rPr>
  </w:style>
  <w:style w:type="paragraph" w:customStyle="1" w:styleId="95">
    <w:name w:val="a标题"/>
    <w:basedOn w:val="1"/>
    <w:link w:val="94"/>
    <w:uiPriority w:val="0"/>
    <w:pPr>
      <w:widowControl/>
      <w:spacing w:line="400" w:lineRule="exact"/>
      <w:ind w:firstLine="551" w:firstLineChars="196"/>
    </w:pPr>
    <w:rPr>
      <w:rFonts w:ascii="宋体" w:hAnsi="宋体"/>
      <w:b/>
      <w:color w:val="000000"/>
      <w:sz w:val="28"/>
      <w:szCs w:val="28"/>
    </w:rPr>
  </w:style>
  <w:style w:type="character" w:customStyle="1" w:styleId="96">
    <w:name w:val="内容 Char"/>
    <w:basedOn w:val="97"/>
    <w:link w:val="99"/>
    <w:uiPriority w:val="0"/>
  </w:style>
  <w:style w:type="character" w:customStyle="1" w:styleId="97">
    <w:name w:val="样式（正文） Char"/>
    <w:link w:val="98"/>
    <w:uiPriority w:val="0"/>
    <w:rPr>
      <w:rFonts w:ascii="Calibri" w:hAnsi="Calibri" w:eastAsia="宋体" w:cs="Times New Roman"/>
      <w:kern w:val="2"/>
      <w:sz w:val="24"/>
      <w:szCs w:val="24"/>
    </w:rPr>
  </w:style>
  <w:style w:type="paragraph" w:customStyle="1" w:styleId="98">
    <w:name w:val="样式（正文）"/>
    <w:basedOn w:val="1"/>
    <w:link w:val="97"/>
    <w:uiPriority w:val="0"/>
    <w:pPr>
      <w:widowControl/>
      <w:spacing w:line="300" w:lineRule="auto"/>
      <w:ind w:firstLine="224" w:firstLineChars="224"/>
    </w:pPr>
    <w:rPr>
      <w:rFonts w:ascii="Calibri" w:hAnsi="Calibri"/>
      <w:sz w:val="24"/>
    </w:rPr>
  </w:style>
  <w:style w:type="paragraph" w:customStyle="1" w:styleId="99">
    <w:name w:val="内容"/>
    <w:basedOn w:val="98"/>
    <w:link w:val="96"/>
    <w:uiPriority w:val="0"/>
    <w:pPr>
      <w:spacing w:line="400" w:lineRule="exact"/>
      <w:ind w:firstLine="538"/>
    </w:pPr>
  </w:style>
  <w:style w:type="character" w:customStyle="1" w:styleId="100">
    <w:name w:val="图表n Char"/>
    <w:basedOn w:val="101"/>
    <w:link w:val="103"/>
    <w:locked/>
    <w:uiPriority w:val="0"/>
  </w:style>
  <w:style w:type="character" w:customStyle="1" w:styleId="101">
    <w:name w:val="图表内 Char"/>
    <w:basedOn w:val="76"/>
    <w:link w:val="102"/>
    <w:locked/>
    <w:uiPriority w:val="0"/>
  </w:style>
  <w:style w:type="paragraph" w:customStyle="1" w:styleId="102">
    <w:name w:val="图表内"/>
    <w:basedOn w:val="77"/>
    <w:link w:val="101"/>
    <w:uiPriority w:val="0"/>
  </w:style>
  <w:style w:type="paragraph" w:customStyle="1" w:styleId="103">
    <w:name w:val="图表n"/>
    <w:basedOn w:val="102"/>
    <w:link w:val="100"/>
    <w:uiPriority w:val="0"/>
    <w:pPr>
      <w:framePr w:hSpace="180" w:wrap="around" w:vAnchor="text" w:hAnchor="margin" w:x="-30" w:y="2"/>
      <w:jc w:val="both"/>
    </w:pPr>
  </w:style>
  <w:style w:type="character" w:customStyle="1" w:styleId="104">
    <w:name w:val="XN二级标题 Char"/>
    <w:link w:val="105"/>
    <w:locked/>
    <w:uiPriority w:val="0"/>
    <w:rPr>
      <w:rFonts w:ascii="仿宋" w:hAnsi="仿宋" w:eastAsia="仿宋"/>
      <w:b/>
      <w:color w:val="000000"/>
      <w:sz w:val="36"/>
      <w:szCs w:val="24"/>
    </w:rPr>
  </w:style>
  <w:style w:type="paragraph" w:customStyle="1" w:styleId="105">
    <w:name w:val="XN二级标题"/>
    <w:basedOn w:val="1"/>
    <w:link w:val="104"/>
    <w:uiPriority w:val="0"/>
    <w:pPr>
      <w:spacing w:afterLines="50"/>
      <w:jc w:val="left"/>
      <w:outlineLvl w:val="1"/>
    </w:pPr>
    <w:rPr>
      <w:rFonts w:ascii="仿宋" w:hAnsi="仿宋" w:eastAsia="仿宋"/>
      <w:b/>
      <w:color w:val="000000"/>
      <w:kern w:val="0"/>
      <w:sz w:val="36"/>
    </w:rPr>
  </w:style>
  <w:style w:type="character" w:customStyle="1" w:styleId="106">
    <w:name w:val="YL正文 Char"/>
    <w:link w:val="107"/>
    <w:uiPriority w:val="0"/>
    <w:rPr>
      <w:rFonts w:ascii="仿宋" w:hAnsi="仿宋" w:eastAsia="宋体"/>
      <w:color w:val="000000"/>
      <w:kern w:val="2"/>
      <w:sz w:val="24"/>
      <w:szCs w:val="24"/>
    </w:rPr>
  </w:style>
  <w:style w:type="paragraph" w:customStyle="1" w:styleId="107">
    <w:name w:val="YL正文"/>
    <w:basedOn w:val="1"/>
    <w:link w:val="106"/>
    <w:qFormat/>
    <w:uiPriority w:val="0"/>
    <w:pPr>
      <w:spacing w:line="300" w:lineRule="auto"/>
      <w:ind w:firstLine="200" w:firstLineChars="200"/>
    </w:pPr>
    <w:rPr>
      <w:rFonts w:ascii="仿宋" w:hAnsi="仿宋"/>
      <w:color w:val="000000"/>
      <w:sz w:val="24"/>
    </w:rPr>
  </w:style>
  <w:style w:type="character" w:customStyle="1" w:styleId="108">
    <w:name w:val="样式（正文） Char Char"/>
    <w:uiPriority w:val="0"/>
    <w:rPr>
      <w:rFonts w:ascii="Calibri" w:hAnsi="Calibri" w:eastAsia="宋体" w:cs="黑体"/>
      <w:kern w:val="2"/>
      <w:sz w:val="24"/>
      <w:szCs w:val="24"/>
    </w:rPr>
  </w:style>
  <w:style w:type="character" w:customStyle="1" w:styleId="109">
    <w:name w:val="1） Char Char"/>
    <w:uiPriority w:val="0"/>
    <w:rPr>
      <w:rFonts w:ascii="宋体" w:hAnsi="宋体"/>
      <w:b/>
      <w:color w:val="000000"/>
      <w:kern w:val="2"/>
      <w:sz w:val="24"/>
      <w:szCs w:val="24"/>
    </w:rPr>
  </w:style>
  <w:style w:type="character" w:customStyle="1" w:styleId="110">
    <w:name w:val="YL二级 Char"/>
    <w:link w:val="111"/>
    <w:uiPriority w:val="0"/>
    <w:rPr>
      <w:rFonts w:ascii="宋体" w:hAnsi="宋体" w:eastAsia="宋体"/>
      <w:b/>
      <w:bCs/>
      <w:kern w:val="2"/>
      <w:sz w:val="28"/>
      <w:szCs w:val="24"/>
    </w:rPr>
  </w:style>
  <w:style w:type="paragraph" w:customStyle="1" w:styleId="111">
    <w:name w:val="YL二级"/>
    <w:basedOn w:val="1"/>
    <w:link w:val="110"/>
    <w:qFormat/>
    <w:uiPriority w:val="0"/>
    <w:pPr>
      <w:adjustRightInd w:val="0"/>
      <w:spacing w:beforeLines="50" w:afterLines="50"/>
      <w:jc w:val="left"/>
      <w:outlineLvl w:val="1"/>
    </w:pPr>
    <w:rPr>
      <w:rFonts w:ascii="宋体" w:hAnsi="宋体"/>
      <w:b/>
      <w:bCs/>
      <w:sz w:val="28"/>
    </w:rPr>
  </w:style>
  <w:style w:type="character" w:customStyle="1" w:styleId="112">
    <w:name w:val="YL表头 Char"/>
    <w:link w:val="113"/>
    <w:uiPriority w:val="0"/>
    <w:rPr>
      <w:rFonts w:ascii="Cambria" w:hAnsi="Cambria" w:eastAsia="宋体"/>
      <w:b/>
      <w:kern w:val="2"/>
      <w:sz w:val="21"/>
    </w:rPr>
  </w:style>
  <w:style w:type="paragraph" w:customStyle="1" w:styleId="113">
    <w:name w:val="YL表头"/>
    <w:basedOn w:val="7"/>
    <w:link w:val="112"/>
    <w:qFormat/>
    <w:uiPriority w:val="0"/>
    <w:pPr>
      <w:spacing w:beforeLines="30" w:afterLines="20"/>
      <w:jc w:val="center"/>
    </w:pPr>
    <w:rPr>
      <w:rFonts w:eastAsia="宋体"/>
      <w:b/>
      <w:sz w:val="21"/>
    </w:rPr>
  </w:style>
  <w:style w:type="character" w:customStyle="1" w:styleId="114">
    <w:name w:val="STL图表内容 Char"/>
    <w:link w:val="115"/>
    <w:uiPriority w:val="0"/>
    <w:rPr>
      <w:rFonts w:ascii="宋体" w:hAnsi="宋体" w:eastAsia="宋体" w:cs="Times New Roman"/>
      <w:color w:val="000000"/>
      <w:kern w:val="2"/>
      <w:sz w:val="21"/>
      <w:szCs w:val="24"/>
    </w:rPr>
  </w:style>
  <w:style w:type="paragraph" w:customStyle="1" w:styleId="115">
    <w:name w:val="STL图表内容"/>
    <w:basedOn w:val="1"/>
    <w:link w:val="114"/>
    <w:uiPriority w:val="0"/>
    <w:pPr>
      <w:tabs>
        <w:tab w:val="left" w:pos="142"/>
      </w:tabs>
      <w:adjustRightInd w:val="0"/>
      <w:snapToGrid w:val="0"/>
      <w:spacing w:line="264" w:lineRule="auto"/>
      <w:jc w:val="center"/>
    </w:pPr>
    <w:rPr>
      <w:rFonts w:ascii="宋体" w:hAnsi="宋体"/>
      <w:color w:val="000000"/>
    </w:rPr>
  </w:style>
  <w:style w:type="character" w:customStyle="1" w:styleId="116">
    <w:name w:val="表格内 Char"/>
    <w:basedOn w:val="117"/>
    <w:link w:val="121"/>
    <w:uiPriority w:val="0"/>
  </w:style>
  <w:style w:type="character" w:customStyle="1" w:styleId="117">
    <w:name w:val="表内的 Char"/>
    <w:basedOn w:val="118"/>
    <w:link w:val="120"/>
    <w:uiPriority w:val="0"/>
  </w:style>
  <w:style w:type="character" w:customStyle="1" w:styleId="118">
    <w:name w:val="表内 Char"/>
    <w:link w:val="119"/>
    <w:uiPriority w:val="0"/>
    <w:rPr>
      <w:rFonts w:ascii="宋体" w:hAnsi="宋体" w:eastAsia="宋体" w:cs="Times New Roman"/>
      <w:kern w:val="2"/>
      <w:sz w:val="21"/>
      <w:szCs w:val="21"/>
    </w:rPr>
  </w:style>
  <w:style w:type="paragraph" w:customStyle="1" w:styleId="119">
    <w:name w:val="表内"/>
    <w:basedOn w:val="1"/>
    <w:link w:val="118"/>
    <w:uiPriority w:val="0"/>
    <w:pPr>
      <w:widowControl/>
      <w:adjustRightInd w:val="0"/>
      <w:snapToGrid w:val="0"/>
      <w:spacing w:line="400" w:lineRule="exact"/>
      <w:ind w:firstLine="224" w:firstLineChars="224"/>
    </w:pPr>
    <w:rPr>
      <w:rFonts w:ascii="宋体" w:hAnsi="宋体"/>
      <w:szCs w:val="21"/>
    </w:rPr>
  </w:style>
  <w:style w:type="paragraph" w:customStyle="1" w:styleId="120">
    <w:name w:val="表内的"/>
    <w:basedOn w:val="119"/>
    <w:link w:val="117"/>
    <w:uiPriority w:val="0"/>
    <w:pPr>
      <w:ind w:firstLine="0" w:firstLineChars="0"/>
    </w:pPr>
  </w:style>
  <w:style w:type="paragraph" w:customStyle="1" w:styleId="121">
    <w:name w:val="表格内"/>
    <w:basedOn w:val="120"/>
    <w:link w:val="116"/>
    <w:uiPriority w:val="0"/>
  </w:style>
  <w:style w:type="character" w:customStyle="1" w:styleId="122">
    <w:name w:val="文 Char"/>
    <w:link w:val="123"/>
    <w:uiPriority w:val="0"/>
    <w:rPr>
      <w:rFonts w:ascii="宋体" w:hAnsi="宋体" w:eastAsia="宋体" w:cs="Times New Roman"/>
      <w:kern w:val="2"/>
      <w:sz w:val="24"/>
      <w:szCs w:val="24"/>
    </w:rPr>
  </w:style>
  <w:style w:type="paragraph" w:customStyle="1" w:styleId="123">
    <w:name w:val="文"/>
    <w:basedOn w:val="99"/>
    <w:link w:val="122"/>
    <w:uiPriority w:val="0"/>
    <w:rPr>
      <w:rFonts w:ascii="宋体" w:hAnsi="宋体"/>
    </w:rPr>
  </w:style>
  <w:style w:type="character" w:customStyle="1" w:styleId="124">
    <w:name w:val="YL五级 Char"/>
    <w:link w:val="125"/>
    <w:uiPriority w:val="0"/>
    <w:rPr>
      <w:rFonts w:ascii="仿宋" w:hAnsi="仿宋" w:eastAsia="宋体"/>
      <w:b/>
      <w:color w:val="000000"/>
      <w:kern w:val="2"/>
      <w:sz w:val="24"/>
      <w:szCs w:val="24"/>
    </w:rPr>
  </w:style>
  <w:style w:type="paragraph" w:customStyle="1" w:styleId="125">
    <w:name w:val="YL五级"/>
    <w:basedOn w:val="1"/>
    <w:link w:val="124"/>
    <w:qFormat/>
    <w:uiPriority w:val="0"/>
    <w:pPr>
      <w:adjustRightInd w:val="0"/>
      <w:spacing w:beforeLines="50" w:afterLines="50"/>
      <w:ind w:firstLine="200" w:firstLineChars="200"/>
      <w:jc w:val="left"/>
      <w:outlineLvl w:val="4"/>
    </w:pPr>
    <w:rPr>
      <w:rFonts w:ascii="仿宋" w:hAnsi="仿宋"/>
      <w:b/>
      <w:color w:val="000000"/>
      <w:sz w:val="24"/>
    </w:rPr>
  </w:style>
  <w:style w:type="character" w:customStyle="1" w:styleId="126">
    <w:name w:val="表格内 Char Char"/>
    <w:uiPriority w:val="0"/>
    <w:rPr>
      <w:rFonts w:ascii="宋体" w:hAnsi="宋体" w:eastAsia="宋体" w:cs="Times New Roman"/>
      <w:kern w:val="2"/>
      <w:sz w:val="21"/>
      <w:szCs w:val="21"/>
    </w:rPr>
  </w:style>
  <w:style w:type="character" w:customStyle="1" w:styleId="127">
    <w:name w:val="text1"/>
    <w:uiPriority w:val="0"/>
    <w:rPr>
      <w:rFonts w:hint="default" w:ascii="Verdana" w:hAnsi="Verdana"/>
      <w:color w:val="222222"/>
      <w:sz w:val="18"/>
      <w:szCs w:val="18"/>
      <w:u w:val="none"/>
    </w:rPr>
  </w:style>
  <w:style w:type="character" w:customStyle="1" w:styleId="128">
    <w:name w:val="count3"/>
    <w:basedOn w:val="37"/>
    <w:uiPriority w:val="0"/>
  </w:style>
  <w:style w:type="character" w:customStyle="1" w:styleId="129">
    <w:name w:val="样式1 Char"/>
    <w:locked/>
    <w:uiPriority w:val="0"/>
    <w:rPr>
      <w:rFonts w:ascii="Arial" w:hAnsi="Arial" w:eastAsia="黑体"/>
      <w:kern w:val="2"/>
      <w:sz w:val="32"/>
      <w:szCs w:val="32"/>
    </w:rPr>
  </w:style>
  <w:style w:type="character" w:customStyle="1" w:styleId="130">
    <w:name w:val="文字 Char"/>
    <w:link w:val="131"/>
    <w:uiPriority w:val="0"/>
    <w:rPr>
      <w:rFonts w:ascii="Calibri" w:hAnsi="Calibri" w:eastAsia="宋体" w:cs="Times New Roman"/>
      <w:bCs/>
      <w:color w:val="000000"/>
      <w:kern w:val="2"/>
      <w:sz w:val="24"/>
      <w:szCs w:val="24"/>
    </w:rPr>
  </w:style>
  <w:style w:type="paragraph" w:customStyle="1" w:styleId="131">
    <w:name w:val="文字"/>
    <w:basedOn w:val="98"/>
    <w:link w:val="130"/>
    <w:uiPriority w:val="0"/>
    <w:pPr>
      <w:spacing w:line="400" w:lineRule="exact"/>
      <w:ind w:firstLine="538"/>
    </w:pPr>
    <w:rPr>
      <w:bCs/>
      <w:color w:val="000000"/>
    </w:rPr>
  </w:style>
  <w:style w:type="character" w:customStyle="1" w:styleId="132">
    <w:name w:val="YL四级 Char"/>
    <w:link w:val="133"/>
    <w:uiPriority w:val="0"/>
    <w:rPr>
      <w:rFonts w:ascii="仿宋" w:hAnsi="仿宋" w:eastAsia="宋体"/>
      <w:b/>
      <w:color w:val="000000"/>
      <w:kern w:val="2"/>
      <w:sz w:val="24"/>
      <w:szCs w:val="24"/>
    </w:rPr>
  </w:style>
  <w:style w:type="paragraph" w:customStyle="1" w:styleId="133">
    <w:name w:val="YL四级"/>
    <w:basedOn w:val="1"/>
    <w:link w:val="132"/>
    <w:qFormat/>
    <w:uiPriority w:val="0"/>
    <w:pPr>
      <w:spacing w:beforeLines="50" w:afterLines="50"/>
      <w:ind w:firstLine="200" w:firstLineChars="200"/>
      <w:jc w:val="left"/>
      <w:outlineLvl w:val="3"/>
    </w:pPr>
    <w:rPr>
      <w:rFonts w:ascii="仿宋" w:hAnsi="仿宋"/>
      <w:b/>
      <w:color w:val="000000"/>
      <w:sz w:val="24"/>
    </w:rPr>
  </w:style>
  <w:style w:type="character" w:customStyle="1" w:styleId="134">
    <w:name w:val="1） Char"/>
    <w:link w:val="135"/>
    <w:uiPriority w:val="0"/>
    <w:rPr>
      <w:rFonts w:ascii="宋体" w:hAnsi="宋体" w:eastAsia="宋体" w:cs="Times New Roman"/>
      <w:b/>
      <w:color w:val="000000"/>
      <w:kern w:val="2"/>
      <w:sz w:val="24"/>
      <w:szCs w:val="22"/>
    </w:rPr>
  </w:style>
  <w:style w:type="paragraph" w:customStyle="1" w:styleId="135">
    <w:name w:val="1）"/>
    <w:basedOn w:val="1"/>
    <w:link w:val="134"/>
    <w:uiPriority w:val="0"/>
    <w:pPr>
      <w:widowControl/>
      <w:spacing w:line="400" w:lineRule="exact"/>
      <w:ind w:firstLine="482" w:firstLineChars="200"/>
    </w:pPr>
    <w:rPr>
      <w:rFonts w:ascii="宋体" w:hAnsi="宋体"/>
      <w:b/>
      <w:color w:val="000000"/>
      <w:sz w:val="24"/>
      <w:szCs w:val="22"/>
    </w:rPr>
  </w:style>
  <w:style w:type="character" w:customStyle="1" w:styleId="136">
    <w:name w:val="STL表头 Char"/>
    <w:link w:val="137"/>
    <w:uiPriority w:val="0"/>
    <w:rPr>
      <w:rFonts w:ascii="Cambria" w:hAnsi="Cambria" w:eastAsia="宋体" w:cs="Times New Roman"/>
      <w:b/>
      <w:kern w:val="2"/>
      <w:sz w:val="21"/>
    </w:rPr>
  </w:style>
  <w:style w:type="paragraph" w:customStyle="1" w:styleId="137">
    <w:name w:val="STL表头"/>
    <w:basedOn w:val="7"/>
    <w:link w:val="136"/>
    <w:uiPriority w:val="0"/>
    <w:pPr>
      <w:spacing w:beforeLines="20" w:afterLines="50"/>
      <w:jc w:val="center"/>
    </w:pPr>
    <w:rPr>
      <w:rFonts w:eastAsia="宋体"/>
      <w:b/>
      <w:sz w:val="21"/>
    </w:rPr>
  </w:style>
  <w:style w:type="character" w:customStyle="1" w:styleId="138">
    <w:name w:val="样式2 Char"/>
    <w:locked/>
    <w:uiPriority w:val="0"/>
    <w:rPr>
      <w:rFonts w:ascii="Calibri" w:hAnsi="Calibri" w:eastAsia="宋体" w:cs="Times New Roman"/>
      <w:kern w:val="2"/>
      <w:sz w:val="32"/>
      <w:szCs w:val="32"/>
    </w:rPr>
  </w:style>
  <w:style w:type="character" w:customStyle="1" w:styleId="139">
    <w:name w:val="正文0 Char"/>
    <w:link w:val="140"/>
    <w:uiPriority w:val="0"/>
    <w:rPr>
      <w:rFonts w:cs="宋体"/>
      <w:sz w:val="24"/>
      <w:szCs w:val="24"/>
    </w:rPr>
  </w:style>
  <w:style w:type="paragraph" w:customStyle="1" w:styleId="140">
    <w:name w:val="正文0"/>
    <w:basedOn w:val="1"/>
    <w:link w:val="139"/>
    <w:uiPriority w:val="0"/>
    <w:pPr>
      <w:adjustRightInd w:val="0"/>
      <w:snapToGrid w:val="0"/>
      <w:spacing w:line="300" w:lineRule="auto"/>
      <w:ind w:firstLine="480" w:firstLineChars="200"/>
      <w:jc w:val="left"/>
    </w:pPr>
    <w:rPr>
      <w:kern w:val="0"/>
      <w:sz w:val="24"/>
    </w:rPr>
  </w:style>
  <w:style w:type="character" w:customStyle="1" w:styleId="141">
    <w:name w:val="XN正文 Char"/>
    <w:link w:val="142"/>
    <w:locked/>
    <w:uiPriority w:val="0"/>
    <w:rPr>
      <w:rFonts w:ascii="仿宋" w:hAnsi="仿宋" w:eastAsia="仿宋"/>
      <w:color w:val="000000"/>
      <w:sz w:val="24"/>
      <w:szCs w:val="24"/>
    </w:rPr>
  </w:style>
  <w:style w:type="paragraph" w:customStyle="1" w:styleId="142">
    <w:name w:val="XN正文"/>
    <w:basedOn w:val="1"/>
    <w:link w:val="141"/>
    <w:uiPriority w:val="0"/>
    <w:pPr>
      <w:spacing w:line="300" w:lineRule="auto"/>
      <w:ind w:firstLine="200" w:firstLineChars="200"/>
    </w:pPr>
    <w:rPr>
      <w:rFonts w:ascii="仿宋" w:hAnsi="仿宋" w:eastAsia="仿宋"/>
      <w:color w:val="000000"/>
      <w:kern w:val="0"/>
      <w:sz w:val="24"/>
    </w:rPr>
  </w:style>
  <w:style w:type="character" w:customStyle="1" w:styleId="143">
    <w:name w:val="XN表头 Char"/>
    <w:link w:val="144"/>
    <w:uiPriority w:val="0"/>
    <w:rPr>
      <w:rFonts w:ascii="Cambria" w:hAnsi="Cambria" w:eastAsia="仿宋"/>
      <w:b/>
      <w:kern w:val="2"/>
      <w:sz w:val="24"/>
    </w:rPr>
  </w:style>
  <w:style w:type="paragraph" w:customStyle="1" w:styleId="144">
    <w:name w:val="XN表头"/>
    <w:basedOn w:val="7"/>
    <w:link w:val="143"/>
    <w:qFormat/>
    <w:uiPriority w:val="0"/>
    <w:pPr>
      <w:spacing w:beforeLines="30" w:afterLines="20"/>
      <w:jc w:val="center"/>
    </w:pPr>
    <w:rPr>
      <w:rFonts w:eastAsia="仿宋"/>
      <w:b/>
      <w:sz w:val="24"/>
    </w:rPr>
  </w:style>
  <w:style w:type="character" w:customStyle="1" w:styleId="145">
    <w:name w:val="表头五号 Char"/>
    <w:link w:val="146"/>
    <w:uiPriority w:val="0"/>
    <w:rPr>
      <w:rFonts w:ascii="宋体" w:hAnsi="宋体"/>
      <w:b/>
      <w:kern w:val="2"/>
      <w:sz w:val="21"/>
      <w:szCs w:val="24"/>
    </w:rPr>
  </w:style>
  <w:style w:type="paragraph" w:customStyle="1" w:styleId="146">
    <w:name w:val="表头五号"/>
    <w:basedOn w:val="1"/>
    <w:link w:val="145"/>
    <w:qFormat/>
    <w:uiPriority w:val="0"/>
    <w:pPr>
      <w:autoSpaceDE w:val="0"/>
      <w:autoSpaceDN w:val="0"/>
      <w:spacing w:beforeLines="50" w:line="300" w:lineRule="auto"/>
      <w:ind w:firstLine="422" w:firstLineChars="200"/>
      <w:jc w:val="center"/>
    </w:pPr>
    <w:rPr>
      <w:rFonts w:ascii="宋体" w:hAnsi="宋体"/>
      <w:b/>
    </w:rPr>
  </w:style>
  <w:style w:type="character" w:customStyle="1" w:styleId="147">
    <w:name w:val="样式3 Char"/>
    <w:link w:val="148"/>
    <w:locked/>
    <w:uiPriority w:val="0"/>
    <w:rPr>
      <w:sz w:val="24"/>
      <w:szCs w:val="24"/>
    </w:rPr>
  </w:style>
  <w:style w:type="paragraph" w:customStyle="1" w:styleId="148">
    <w:name w:val="样式3"/>
    <w:basedOn w:val="1"/>
    <w:link w:val="147"/>
    <w:uiPriority w:val="0"/>
    <w:pPr>
      <w:widowControl/>
      <w:spacing w:line="300" w:lineRule="auto"/>
      <w:ind w:firstLine="224" w:firstLineChars="224"/>
    </w:pPr>
    <w:rPr>
      <w:kern w:val="0"/>
      <w:sz w:val="24"/>
    </w:rPr>
  </w:style>
  <w:style w:type="character" w:customStyle="1" w:styleId="149">
    <w:name w:val="内容 Char Char"/>
    <w:basedOn w:val="108"/>
    <w:uiPriority w:val="0"/>
  </w:style>
  <w:style w:type="character" w:customStyle="1" w:styleId="150">
    <w:name w:val="a Char"/>
    <w:link w:val="151"/>
    <w:uiPriority w:val="0"/>
    <w:rPr>
      <w:rFonts w:ascii="宋体" w:hAnsi="宋体" w:eastAsia="宋体" w:cs="Times New Roman"/>
      <w:b/>
      <w:color w:val="000000"/>
      <w:kern w:val="2"/>
      <w:sz w:val="24"/>
      <w:szCs w:val="24"/>
    </w:rPr>
  </w:style>
  <w:style w:type="paragraph" w:customStyle="1" w:styleId="151">
    <w:name w:val="a"/>
    <w:basedOn w:val="95"/>
    <w:link w:val="150"/>
    <w:uiPriority w:val="0"/>
    <w:pPr>
      <w:spacing w:line="360" w:lineRule="auto"/>
      <w:ind w:firstLine="472"/>
    </w:pPr>
    <w:rPr>
      <w:sz w:val="24"/>
      <w:szCs w:val="24"/>
    </w:rPr>
  </w:style>
  <w:style w:type="character" w:customStyle="1" w:styleId="152">
    <w:name w:val="正文文本缩进 Char Char"/>
    <w:link w:val="153"/>
    <w:uiPriority w:val="0"/>
    <w:rPr>
      <w:rFonts w:ascii="宋体"/>
      <w:sz w:val="24"/>
      <w:szCs w:val="24"/>
    </w:rPr>
  </w:style>
  <w:style w:type="paragraph" w:customStyle="1" w:styleId="153">
    <w:name w:val="正文文本缩进1"/>
    <w:basedOn w:val="1"/>
    <w:link w:val="152"/>
    <w:uiPriority w:val="0"/>
    <w:pPr>
      <w:spacing w:before="100" w:beforeAutospacing="1" w:after="100" w:afterAutospacing="1" w:line="360" w:lineRule="auto"/>
      <w:ind w:firstLine="560" w:firstLineChars="200"/>
    </w:pPr>
    <w:rPr>
      <w:rFonts w:ascii="宋体"/>
      <w:kern w:val="0"/>
      <w:sz w:val="24"/>
    </w:rPr>
  </w:style>
  <w:style w:type="character" w:customStyle="1" w:styleId="154">
    <w:name w:val="XN六级标题 Char"/>
    <w:link w:val="155"/>
    <w:locked/>
    <w:uiPriority w:val="0"/>
    <w:rPr>
      <w:rFonts w:ascii="仿宋" w:hAnsi="仿宋" w:eastAsia="仿宋"/>
      <w:color w:val="000000"/>
      <w:sz w:val="24"/>
      <w:szCs w:val="24"/>
    </w:rPr>
  </w:style>
  <w:style w:type="paragraph" w:customStyle="1" w:styleId="155">
    <w:name w:val="XN六级标题"/>
    <w:basedOn w:val="1"/>
    <w:link w:val="154"/>
    <w:uiPriority w:val="0"/>
    <w:pPr>
      <w:adjustRightInd w:val="0"/>
      <w:spacing w:afterLines="50"/>
      <w:ind w:firstLine="200" w:firstLineChars="200"/>
      <w:jc w:val="left"/>
      <w:outlineLvl w:val="5"/>
    </w:pPr>
    <w:rPr>
      <w:rFonts w:ascii="仿宋" w:hAnsi="仿宋" w:eastAsia="仿宋"/>
      <w:color w:val="000000"/>
      <w:kern w:val="0"/>
      <w:sz w:val="24"/>
    </w:rPr>
  </w:style>
  <w:style w:type="character" w:customStyle="1" w:styleId="156">
    <w:name w:val="title10"/>
    <w:basedOn w:val="37"/>
    <w:uiPriority w:val="0"/>
  </w:style>
  <w:style w:type="character" w:customStyle="1" w:styleId="157">
    <w:name w:val="脚注文本 Char1"/>
    <w:uiPriority w:val="99"/>
    <w:rPr>
      <w:kern w:val="2"/>
      <w:sz w:val="18"/>
      <w:szCs w:val="18"/>
    </w:rPr>
  </w:style>
  <w:style w:type="character" w:customStyle="1" w:styleId="158">
    <w:name w:val="YL三级 Char"/>
    <w:link w:val="159"/>
    <w:uiPriority w:val="0"/>
    <w:rPr>
      <w:rFonts w:ascii="宋体" w:hAnsi="宋体" w:eastAsia="宋体"/>
      <w:b/>
      <w:bCs/>
      <w:kern w:val="2"/>
      <w:sz w:val="24"/>
      <w:szCs w:val="24"/>
    </w:rPr>
  </w:style>
  <w:style w:type="paragraph" w:customStyle="1" w:styleId="159">
    <w:name w:val="YL三级"/>
    <w:basedOn w:val="1"/>
    <w:link w:val="158"/>
    <w:qFormat/>
    <w:uiPriority w:val="0"/>
    <w:pPr>
      <w:adjustRightInd w:val="0"/>
      <w:spacing w:beforeLines="50" w:afterLines="50"/>
      <w:outlineLvl w:val="2"/>
    </w:pPr>
    <w:rPr>
      <w:rFonts w:ascii="宋体" w:hAnsi="宋体"/>
      <w:b/>
      <w:bCs/>
      <w:sz w:val="24"/>
    </w:rPr>
  </w:style>
  <w:style w:type="character" w:customStyle="1" w:styleId="160">
    <w:name w:val="STL图表内容 Char Char"/>
    <w:uiPriority w:val="0"/>
    <w:rPr>
      <w:rFonts w:ascii="宋体" w:hAnsi="宋体"/>
      <w:color w:val="000000"/>
      <w:szCs w:val="24"/>
    </w:rPr>
  </w:style>
  <w:style w:type="character" w:customStyle="1" w:styleId="161">
    <w:name w:val="YL图内容 Char Char"/>
    <w:uiPriority w:val="0"/>
    <w:rPr>
      <w:rFonts w:ascii="仿宋" w:hAnsi="仿宋" w:eastAsia="仿宋" w:cs="Times New Roman"/>
      <w:color w:val="000000"/>
      <w:szCs w:val="24"/>
    </w:rPr>
  </w:style>
  <w:style w:type="character" w:customStyle="1" w:styleId="162">
    <w:name w:val="三级标题 Char"/>
    <w:link w:val="163"/>
    <w:uiPriority w:val="0"/>
    <w:rPr>
      <w:rFonts w:ascii="黑体" w:hAnsi="黑体" w:eastAsia="黑体"/>
      <w:kern w:val="2"/>
      <w:sz w:val="28"/>
      <w:szCs w:val="28"/>
    </w:rPr>
  </w:style>
  <w:style w:type="paragraph" w:customStyle="1" w:styleId="163">
    <w:name w:val="三级标题"/>
    <w:basedOn w:val="12"/>
    <w:link w:val="162"/>
    <w:uiPriority w:val="0"/>
    <w:pPr>
      <w:widowControl/>
      <w:spacing w:after="0" w:line="360" w:lineRule="auto"/>
      <w:ind w:left="0" w:leftChars="0"/>
    </w:pPr>
    <w:rPr>
      <w:rFonts w:ascii="黑体" w:hAnsi="黑体" w:eastAsia="黑体"/>
      <w:sz w:val="28"/>
      <w:szCs w:val="28"/>
    </w:rPr>
  </w:style>
  <w:style w:type="character" w:customStyle="1" w:styleId="164">
    <w:name w:val="YL一级 Char"/>
    <w:link w:val="165"/>
    <w:uiPriority w:val="0"/>
    <w:rPr>
      <w:rFonts w:eastAsia="宋体"/>
      <w:b/>
      <w:bCs/>
      <w:kern w:val="2"/>
      <w:sz w:val="44"/>
      <w:szCs w:val="32"/>
    </w:rPr>
  </w:style>
  <w:style w:type="paragraph" w:customStyle="1" w:styleId="165">
    <w:name w:val="YL一级"/>
    <w:basedOn w:val="1"/>
    <w:link w:val="164"/>
    <w:qFormat/>
    <w:uiPriority w:val="0"/>
    <w:pPr>
      <w:adjustRightInd w:val="0"/>
      <w:snapToGrid w:val="0"/>
      <w:spacing w:beforeLines="50" w:afterLines="50"/>
      <w:jc w:val="center"/>
      <w:outlineLvl w:val="0"/>
    </w:pPr>
    <w:rPr>
      <w:b/>
      <w:bCs/>
      <w:sz w:val="44"/>
      <w:szCs w:val="32"/>
    </w:rPr>
  </w:style>
  <w:style w:type="character" w:customStyle="1" w:styleId="166">
    <w:name w:val="招股正文格式 Char"/>
    <w:link w:val="167"/>
    <w:uiPriority w:val="0"/>
    <w:rPr>
      <w:sz w:val="24"/>
    </w:rPr>
  </w:style>
  <w:style w:type="paragraph" w:customStyle="1" w:styleId="167">
    <w:name w:val="招股正文格式"/>
    <w:basedOn w:val="1"/>
    <w:link w:val="166"/>
    <w:uiPriority w:val="0"/>
    <w:pPr>
      <w:spacing w:beforeLines="50" w:line="360" w:lineRule="auto"/>
      <w:ind w:firstLine="200" w:firstLineChars="200"/>
    </w:pPr>
    <w:rPr>
      <w:kern w:val="0"/>
      <w:sz w:val="24"/>
      <w:szCs w:val="20"/>
    </w:rPr>
  </w:style>
  <w:style w:type="character" w:customStyle="1" w:styleId="168">
    <w:name w:val="15"/>
    <w:uiPriority w:val="0"/>
    <w:rPr>
      <w:rFonts w:hint="eastAsia" w:ascii="宋体" w:hAnsi="宋体" w:eastAsia="宋体"/>
      <w:b/>
      <w:bCs/>
      <w:color w:val="000000"/>
      <w:sz w:val="28"/>
      <w:szCs w:val="28"/>
    </w:rPr>
  </w:style>
  <w:style w:type="paragraph" w:customStyle="1" w:styleId="169">
    <w:name w:val="p18"/>
    <w:basedOn w:val="1"/>
    <w:uiPriority w:val="0"/>
    <w:pPr>
      <w:widowControl/>
      <w:spacing w:line="360" w:lineRule="auto"/>
      <w:ind w:firstLine="412"/>
    </w:pPr>
    <w:rPr>
      <w:rFonts w:ascii="宋体" w:hAnsi="宋体" w:cs="宋体"/>
      <w:b/>
      <w:bCs/>
      <w:color w:val="000000"/>
      <w:kern w:val="0"/>
      <w:sz w:val="28"/>
      <w:szCs w:val="28"/>
    </w:rPr>
  </w:style>
  <w:style w:type="paragraph" w:customStyle="1" w:styleId="170">
    <w:name w:val="样式1"/>
    <w:qFormat/>
    <w:uiPriority w:val="99"/>
    <w:pPr>
      <w:jc w:val="center"/>
    </w:pPr>
    <w:rPr>
      <w:rFonts w:ascii="Calibri" w:hAnsi="Calibri" w:eastAsia="宋体" w:cs="Times New Roman"/>
      <w:kern w:val="2"/>
      <w:sz w:val="21"/>
      <w:szCs w:val="22"/>
    </w:rPr>
  </w:style>
  <w:style w:type="paragraph" w:customStyle="1" w:styleId="171">
    <w:name w:val="列出段落2"/>
    <w:basedOn w:val="1"/>
    <w:uiPriority w:val="0"/>
    <w:pPr>
      <w:ind w:firstLine="420" w:firstLineChars="200"/>
    </w:pPr>
    <w:rPr>
      <w:szCs w:val="20"/>
    </w:rPr>
  </w:style>
  <w:style w:type="paragraph" w:customStyle="1" w:styleId="172">
    <w:name w:val="p0"/>
    <w:basedOn w:val="1"/>
    <w:uiPriority w:val="0"/>
    <w:pPr>
      <w:widowControl/>
    </w:pPr>
    <w:rPr>
      <w:kern w:val="0"/>
      <w:szCs w:val="21"/>
    </w:rPr>
  </w:style>
  <w:style w:type="paragraph" w:customStyle="1" w:styleId="173">
    <w:name w:val="样式7"/>
    <w:basedOn w:val="1"/>
    <w:next w:val="1"/>
    <w:uiPriority w:val="0"/>
    <w:pPr>
      <w:ind w:firstLine="200" w:firstLineChars="200"/>
      <w:jc w:val="left"/>
    </w:pPr>
  </w:style>
  <w:style w:type="paragraph" w:customStyle="1" w:styleId="174">
    <w:name w:val="Char Char Char Char"/>
    <w:basedOn w:val="1"/>
    <w:uiPriority w:val="0"/>
    <w:pPr>
      <w:widowControl/>
      <w:spacing w:after="160" w:line="240" w:lineRule="exact"/>
      <w:jc w:val="left"/>
    </w:pPr>
    <w:rPr>
      <w:rFonts w:ascii="Calibri" w:hAnsi="Calibri"/>
      <w:szCs w:val="20"/>
    </w:rPr>
  </w:style>
  <w:style w:type="paragraph" w:customStyle="1" w:styleId="175">
    <w:name w:val="p16"/>
    <w:basedOn w:val="1"/>
    <w:uiPriority w:val="0"/>
    <w:pPr>
      <w:widowControl/>
      <w:spacing w:line="400" w:lineRule="atLeast"/>
      <w:ind w:firstLine="470"/>
    </w:pPr>
    <w:rPr>
      <w:rFonts w:ascii="Calibri" w:hAnsi="Calibri" w:cs="宋体"/>
      <w:color w:val="000000"/>
      <w:kern w:val="0"/>
      <w:sz w:val="24"/>
    </w:rPr>
  </w:style>
  <w:style w:type="paragraph" w:customStyle="1" w:styleId="176">
    <w:name w:val="p15"/>
    <w:basedOn w:val="1"/>
    <w:uiPriority w:val="0"/>
    <w:pPr>
      <w:widowControl/>
      <w:spacing w:line="360" w:lineRule="auto"/>
    </w:pPr>
    <w:rPr>
      <w:rFonts w:ascii="黑体" w:hAnsi="宋体" w:eastAsia="黑体" w:cs="宋体"/>
      <w:b/>
      <w:bCs/>
      <w:kern w:val="0"/>
      <w:sz w:val="30"/>
      <w:szCs w:val="30"/>
    </w:rPr>
  </w:style>
  <w:style w:type="paragraph" w:customStyle="1" w:styleId="177">
    <w:name w:val="正文文本缩进 31"/>
    <w:basedOn w:val="1"/>
    <w:uiPriority w:val="0"/>
    <w:pPr>
      <w:spacing w:after="120"/>
      <w:ind w:left="420" w:leftChars="200"/>
    </w:pPr>
    <w:rPr>
      <w:sz w:val="16"/>
      <w:szCs w:val="16"/>
    </w:rPr>
  </w:style>
  <w:style w:type="paragraph" w:customStyle="1" w:styleId="178">
    <w:name w:val="p19"/>
    <w:basedOn w:val="1"/>
    <w:uiPriority w:val="0"/>
    <w:pPr>
      <w:widowControl/>
      <w:spacing w:line="360" w:lineRule="auto"/>
    </w:pPr>
    <w:rPr>
      <w:rFonts w:ascii="黑体" w:hAnsi="宋体" w:eastAsia="黑体" w:cs="宋体"/>
      <w:kern w:val="0"/>
      <w:sz w:val="28"/>
      <w:szCs w:val="28"/>
    </w:rPr>
  </w:style>
  <w:style w:type="paragraph" w:customStyle="1" w:styleId="179">
    <w:name w:val="缺省文本"/>
    <w:basedOn w:val="1"/>
    <w:uiPriority w:val="0"/>
    <w:pPr>
      <w:autoSpaceDE w:val="0"/>
      <w:autoSpaceDN w:val="0"/>
      <w:adjustRightInd w:val="0"/>
      <w:jc w:val="left"/>
    </w:pPr>
    <w:rPr>
      <w:kern w:val="0"/>
      <w:sz w:val="24"/>
      <w:szCs w:val="20"/>
    </w:rPr>
  </w:style>
  <w:style w:type="paragraph" w:customStyle="1" w:styleId="180">
    <w:name w:val="xl24"/>
    <w:basedOn w:val="1"/>
    <w:uiPriority w:val="99"/>
    <w:pPr>
      <w:widowControl/>
      <w:pBdr>
        <w:left w:val="single" w:color="auto" w:sz="4" w:space="0"/>
        <w:bottom w:val="single" w:color="auto" w:sz="4" w:space="0"/>
        <w:right w:val="single" w:color="auto" w:sz="4" w:space="0"/>
      </w:pBdr>
      <w:spacing w:before="100" w:beforeAutospacing="1" w:after="100" w:afterAutospacing="1"/>
      <w:jc w:val="center"/>
    </w:pPr>
    <w:rPr>
      <w:rFonts w:ascii="楷体_GB2312" w:hAnsi="Arial Unicode MS" w:eastAsia="楷体_GB2312"/>
      <w:color w:val="000000"/>
      <w:kern w:val="0"/>
      <w:sz w:val="18"/>
      <w:szCs w:val="18"/>
    </w:rPr>
  </w:style>
  <w:style w:type="paragraph" w:customStyle="1" w:styleId="181">
    <w:name w:val="p17"/>
    <w:basedOn w:val="1"/>
    <w:uiPriority w:val="0"/>
    <w:pPr>
      <w:widowControl/>
      <w:spacing w:line="300" w:lineRule="auto"/>
      <w:ind w:firstLine="470"/>
    </w:pPr>
    <w:rPr>
      <w:kern w:val="0"/>
      <w:sz w:val="24"/>
    </w:rPr>
  </w:style>
  <w:style w:type="paragraph" w:customStyle="1" w:styleId="182">
    <w:name w:val="Char Char Char1 Char"/>
    <w:basedOn w:val="1"/>
    <w:uiPriority w:val="0"/>
    <w:rPr>
      <w:rFonts w:ascii="Tahoma" w:hAnsi="Tahoma"/>
      <w:sz w:val="24"/>
      <w:szCs w:val="20"/>
    </w:rPr>
  </w:style>
  <w:style w:type="paragraph" w:customStyle="1" w:styleId="183">
    <w:name w:val="album-div"/>
    <w:basedOn w:val="1"/>
    <w:uiPriority w:val="0"/>
    <w:pPr>
      <w:widowControl/>
      <w:spacing w:before="100" w:beforeAutospacing="1" w:after="100" w:afterAutospacing="1"/>
      <w:jc w:val="left"/>
    </w:pPr>
    <w:rPr>
      <w:rFonts w:ascii="宋体" w:hAnsi="宋体" w:cs="宋体"/>
      <w:kern w:val="0"/>
      <w:sz w:val="24"/>
    </w:rPr>
  </w:style>
  <w:style w:type="paragraph" w:customStyle="1" w:styleId="184">
    <w:name w:val="列出段落1"/>
    <w:basedOn w:val="1"/>
    <w:uiPriority w:val="99"/>
    <w:pPr>
      <w:ind w:firstLine="420" w:firstLineChars="200"/>
    </w:pPr>
  </w:style>
  <w:style w:type="paragraph" w:customStyle="1" w:styleId="185">
    <w:name w:val="XN五级标题"/>
    <w:basedOn w:val="1"/>
    <w:uiPriority w:val="0"/>
    <w:pPr>
      <w:adjustRightInd w:val="0"/>
      <w:spacing w:afterLines="50"/>
      <w:ind w:firstLine="200" w:firstLineChars="200"/>
      <w:outlineLvl w:val="4"/>
    </w:pPr>
    <w:rPr>
      <w:rFonts w:ascii="仿宋" w:hAnsi="仿宋" w:eastAsia="仿宋"/>
      <w:b/>
      <w:color w:val="000000"/>
      <w:sz w:val="24"/>
    </w:rPr>
  </w:style>
  <w:style w:type="paragraph" w:styleId="186">
    <w:name w:val="List Paragraph"/>
    <w:basedOn w:val="1"/>
    <w:qFormat/>
    <w:uiPriority w:val="34"/>
    <w:pPr>
      <w:ind w:firstLine="420" w:firstLineChars="200"/>
    </w:pPr>
  </w:style>
  <w:style w:type="paragraph" w:styleId="187">
    <w:name w:val=""/>
    <w:basedOn w:val="2"/>
    <w:next w:val="1"/>
    <w:qFormat/>
    <w:uiPriority w:val="39"/>
    <w:pPr>
      <w:widowControl/>
      <w:spacing w:before="480" w:beforeAutospacing="0" w:after="0" w:afterAutospacing="0" w:line="276" w:lineRule="auto"/>
      <w:jc w:val="left"/>
      <w:outlineLvl w:val="9"/>
    </w:pPr>
    <w:rPr>
      <w:rFonts w:ascii="Cambria" w:hAnsi="Cambria" w:eastAsia="宋体" w:cs="Times New Roman"/>
      <w:color w:val="365F91"/>
      <w:kern w:val="0"/>
      <w:sz w:val="28"/>
      <w:szCs w:val="28"/>
    </w:rPr>
  </w:style>
  <w:style w:type="paragraph" w:customStyle="1" w:styleId="188">
    <w:name w:val="列出段落3"/>
    <w:basedOn w:val="1"/>
    <w:uiPriority w:val="0"/>
    <w:pPr>
      <w:ind w:firstLine="420" w:firstLineChars="200"/>
    </w:pPr>
  </w:style>
  <w:style w:type="table" w:customStyle="1" w:styleId="189">
    <w:name w:val="样式2"/>
    <w:basedOn w:val="35"/>
    <w:qFormat/>
    <w:uiPriority w:val="99"/>
    <w:rPr>
      <w:rFonts w:ascii="Calibri" w:hAnsi="Calibri" w:eastAsia="宋体" w:cs="Times New Roman"/>
      <w:kern w:val="2"/>
      <w:sz w:val="21"/>
      <w:szCs w:val="22"/>
    </w:rPr>
    <w:tblPr>
      <w:tblStyle w:val="3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shd w:val="clear" w:color="auto" w:fill="DBE5F1"/>
    </w:tcPr>
    <w:tblStylePr w:type="firstRow">
      <w:tblPr>
        <w:tblStyle w:val="35"/>
      </w:tblPr>
      <w:tcPr>
        <w:tcBorders>
          <w:top w:val="single" w:color="auto" w:sz="4" w:space="0"/>
          <w:left w:val="single" w:color="auto" w:sz="4" w:space="0"/>
          <w:bottom w:val="single" w:color="auto" w:sz="4" w:space="0"/>
          <w:right w:val="single" w:color="auto" w:sz="4" w:space="0"/>
          <w:insideH w:val="nil"/>
          <w:insideV w:val="single" w:sz="4" w:space="0"/>
          <w:tl2br w:val="nil"/>
          <w:tr2bl w:val="nil"/>
        </w:tcBorders>
        <w:shd w:val="clear" w:color="auto" w:fill="548DD4"/>
      </w:tcPr>
    </w:tblStylePr>
  </w:style>
  <w:style w:type="paragraph" w:customStyle="1" w:styleId="190">
    <w:name w:val="Heading 11"/>
    <w:basedOn w:val="1"/>
    <w:qFormat/>
    <w:uiPriority w:val="99"/>
    <w:pPr>
      <w:outlineLvl w:val="1"/>
    </w:pPr>
    <w:rPr>
      <w:rFonts w:ascii="黑体" w:hAnsi="黑体" w:eastAsia="黑体"/>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落雪梨花——扬帆技术论坛更新版</Company>
  <Pages>16</Pages>
  <Words>1507</Words>
  <Characters>8591</Characters>
  <Lines>71</Lines>
  <Paragraphs>20</Paragraphs>
  <TotalTime>2</TotalTime>
  <ScaleCrop>false</ScaleCrop>
  <LinksUpToDate>false</LinksUpToDate>
  <CharactersWithSpaces>10078</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2016-08-26T01:47:00Z</dcterms:created>
  <dc:creator>user</dc:creator>
  <cp:lastModifiedBy>新房客</cp:lastModifiedBy>
  <cp:lastPrinted>2021-05-26T02:31:00Z</cp:lastPrinted>
  <dcterms:modified xsi:type="dcterms:W3CDTF">2021-06-11T01:55:14Z</dcterms:modified>
  <dc:title>社会责任报告</dc:title>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E368583A82584F7BBE54D71E0ABC3D5A</vt:lpwstr>
  </property>
</Properties>
</file>